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DF" w:rsidRDefault="007708CD">
      <w:pPr>
        <w:ind w:left="284" w:right="42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73190" cy="9575800"/>
                <wp:effectExtent l="0" t="0" r="23495" b="26035"/>
                <wp:wrapNone/>
                <wp:docPr id="1" name="Rectangle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95752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1" stroked="t" style="position:absolute;margin-left:0pt;margin-top:0pt;width:509.6pt;height:753.9pt">
                <w10:wrap type="none"/>
                <v:fill o:detectmouseclick="t" on="false"/>
                <v:stroke color="#333399" weight="9360" joinstyle="miter" endcap="flat"/>
              </v:rect>
            </w:pict>
          </mc:Fallback>
        </mc:AlternateContent>
      </w:r>
    </w:p>
    <w:p w:rsidR="009F36DF" w:rsidRDefault="007708CD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ГЛАВНОЕ УПРАВЛЕНИЕ МЧС РОССИИ</w:t>
      </w:r>
    </w:p>
    <w:p w:rsidR="009F36DF" w:rsidRDefault="007708CD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9F36DF" w:rsidRDefault="009F36DF">
      <w:pPr>
        <w:jc w:val="center"/>
        <w:rPr>
          <w:color w:val="000080"/>
          <w:sz w:val="28"/>
          <w:szCs w:val="28"/>
        </w:rPr>
      </w:pPr>
    </w:p>
    <w:p w:rsidR="009F36DF" w:rsidRDefault="009F36DF">
      <w:pPr>
        <w:ind w:left="284" w:right="425"/>
        <w:jc w:val="center"/>
        <w:rPr>
          <w:b/>
          <w:bCs/>
          <w:color w:val="000080"/>
        </w:rPr>
      </w:pPr>
    </w:p>
    <w:p w:rsidR="009F36DF" w:rsidRDefault="009F36DF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9F36DF" w:rsidRDefault="009F36DF">
      <w:pPr>
        <w:ind w:right="425"/>
        <w:jc w:val="center"/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b/>
        </w:rPr>
      </w:pPr>
    </w:p>
    <w:p w:rsidR="009F36DF" w:rsidRDefault="009F36DF">
      <w:pPr>
        <w:ind w:left="284" w:right="425"/>
        <w:jc w:val="center"/>
        <w:rPr>
          <w:sz w:val="40"/>
        </w:rPr>
      </w:pPr>
    </w:p>
    <w:p w:rsidR="009F36DF" w:rsidRDefault="007708CD">
      <w:pPr>
        <w:pStyle w:val="1"/>
        <w:ind w:left="0" w:right="14"/>
        <w:rPr>
          <w:sz w:val="72"/>
          <w:szCs w:val="52"/>
        </w:rPr>
      </w:pPr>
      <w:r>
        <w:rPr>
          <w:sz w:val="72"/>
          <w:szCs w:val="52"/>
        </w:rPr>
        <w:t>АНАЛИЗ</w:t>
      </w:r>
    </w:p>
    <w:p w:rsidR="009F36DF" w:rsidRDefault="007708CD">
      <w:pPr>
        <w:pStyle w:val="1"/>
        <w:ind w:left="0" w:right="14"/>
        <w:rPr>
          <w:sz w:val="44"/>
          <w:szCs w:val="44"/>
        </w:rPr>
      </w:pPr>
      <w:r>
        <w:rPr>
          <w:sz w:val="44"/>
          <w:szCs w:val="44"/>
        </w:rPr>
        <w:t>ОБСТАНОВКИ С ПОЖАРАМИ</w:t>
      </w:r>
    </w:p>
    <w:p w:rsidR="009F36DF" w:rsidRDefault="007708CD">
      <w:pPr>
        <w:ind w:right="14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И ИХ ПОСЛЕДСТВИЯМИ</w:t>
      </w:r>
    </w:p>
    <w:p w:rsidR="009F36DF" w:rsidRDefault="007708CD">
      <w:pPr>
        <w:ind w:right="14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НА ТЕРРИТОРИИ</w:t>
      </w:r>
    </w:p>
    <w:p w:rsidR="009F36DF" w:rsidRDefault="007708CD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9F36DF" w:rsidRDefault="007708CD">
      <w:pPr>
        <w:pStyle w:val="7"/>
        <w:ind w:left="0" w:right="14"/>
        <w:rPr>
          <w:i w:val="0"/>
          <w:iCs w:val="0"/>
          <w:sz w:val="44"/>
          <w:szCs w:val="44"/>
        </w:rPr>
      </w:pPr>
      <w:r>
        <w:rPr>
          <w:i w:val="0"/>
          <w:iCs w:val="0"/>
          <w:sz w:val="44"/>
          <w:szCs w:val="44"/>
        </w:rPr>
        <w:t>за 12</w:t>
      </w:r>
      <w:r>
        <w:rPr>
          <w:i w:val="0"/>
          <w:sz w:val="44"/>
          <w:szCs w:val="44"/>
        </w:rPr>
        <w:t xml:space="preserve"> месяцев 2023 года</w:t>
      </w: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9F36DF">
      <w:pPr>
        <w:ind w:left="284" w:right="425"/>
        <w:jc w:val="center"/>
      </w:pPr>
    </w:p>
    <w:p w:rsidR="009F36DF" w:rsidRDefault="007708CD">
      <w:pPr>
        <w:pStyle w:val="4"/>
      </w:pPr>
      <w:r>
        <w:t>Екатеринбург 2024</w:t>
      </w:r>
    </w:p>
    <w:p w:rsidR="009F36DF" w:rsidRDefault="009F36DF"/>
    <w:p w:rsidR="009F36DF" w:rsidRDefault="007708CD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 Основные показатели обстановки с пожарами и их последствиями в Свердловской области</w:t>
      </w:r>
    </w:p>
    <w:p w:rsidR="009F36DF" w:rsidRDefault="009F36DF">
      <w:pPr>
        <w:jc w:val="center"/>
        <w:rPr>
          <w:b/>
          <w:sz w:val="20"/>
          <w:szCs w:val="20"/>
        </w:rPr>
      </w:pP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2023 года произошло 8483 пожара, на которых погибло 240 человек, в том числе 5 несовершеннолетних,  получили травмы 269 человек. Зарегистрированный материальный ущерб составляет 201,2 млн. рублей.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пожарах эвакуировано 14010 человек, спасено 1237 человек и материальных ценностей на сумму 47,1 млн. рублей.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среднем ежедневно происходило 23 пожара, на которых погибал 1 человек,  получал травму 1 человек.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пожаров на 100 тыс. человек населения – 196,77 пожаров, количество погибших на 100 тыс. человек населения – 5,57 человек, количество травмированных на 100 тыс. населения – 6,24 человека.</w: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9F36DF" w:rsidRDefault="007708CD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02B9A0A" wp14:editId="73C13238">
            <wp:extent cx="6132195" cy="4177665"/>
            <wp:effectExtent l="0" t="0" r="20955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5B07E36" wp14:editId="6EE6BECC">
                <wp:simplePos x="0" y="0"/>
                <wp:positionH relativeFrom="column">
                  <wp:posOffset>2266950</wp:posOffset>
                </wp:positionH>
                <wp:positionV relativeFrom="paragraph">
                  <wp:posOffset>1315720</wp:posOffset>
                </wp:positionV>
                <wp:extent cx="692785" cy="278130"/>
                <wp:effectExtent l="0" t="0" r="31750" b="46355"/>
                <wp:wrapNone/>
                <wp:docPr id="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80" cy="277560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7" o:spid="_x0000_s1026" type="#_x0000_t105" style="position:absolute;margin-left:178.5pt;margin-top:103.6pt;width:54.55pt;height:21.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r1DAIAAK0EAAAOAAAAZHJzL2Uyb0RvYy54bWysVNuO0zAQfUfiHyy/06SpelXT1UK1vCBY&#10;sfABXl9aI99ku03794yn6WUBCS0iD844njkz54wny7uDNWQvY9LetXQ4qCmRjnuh3aal3789vJtR&#10;kjJzghnvZEuPMtG71ds3yy4sZOO33ggZCYC4tOhCS7c5h0VVJb6VlqWBD9LBofLRsgzbuKlEZB2g&#10;W1M1dT2pOh9FiJ7LlODr+nRIV4ivlOT5i1JJZmJaCrVlXCOuz2WtVku22EQWtpr3ZbB/qMIy7SDp&#10;BWrNMiO7qH+DsppHn7zKA+5t5ZXSXCIHYDOsf2HztGVBIhcQJ4WLTOn/wfLP+8dItGhpQ4ljFlp0&#10;v8seM5NpkacLaQFeT+Ex9rsEZuF6UNGWN7AgB5T0eJFUHjLh8HEyb5oZCM/hqJlOxxOUvLoGh5jy&#10;R+ktKUZL+S7upVj7zt3H6DvUlO0/pYziir5EJn4MKVHWQK/2zJDJaDof9r288QFKV59hMx3P/uA0&#10;unUalacAQYV9WrDONZYakjdaPGhjcBM3zx9MJFADMK/f1+MzvRduxpGupfMRkP8bRA1Pn/8FhNVZ&#10;Fv2hGuPgVbpy6gNa+WhkgTbuq1TQTmwH5uJ9iac7D0MJzTjffASDgOKogNIrY/uQEi1x1F4ZfwnC&#10;/N7lS7zVzkeU4YZdMZ+9OOI9RAFgJlCRfn7L0N3uUabrX2b1EwAA//8DAFBLAwQUAAYACAAAACEA&#10;xnQ0CuAAAAALAQAADwAAAGRycy9kb3ducmV2LnhtbEyPQU+EMBCF7yb+h2ZMvLktCCxBysY1MfHi&#10;QdDEY5eOQJZOSdvdxX9vPenxzXt58716t5qZndH5yZKEZCOAIfVWTzRIeO+e70pgPijSaraEEr7R&#10;w665vqpVpe2F3vDchoHFEvKVkjCGsFSc+35Eo/zGLkjR+7LOqBClG7h26hLLzcxTIQpu1ETxw6gW&#10;fBqxP7YnI2Ev9i9dRzpvX5PsYykpO7ryU8rbm/XxAVjANfyF4Rc/okMTmQ72RNqzWcJ9vo1bgoRU&#10;bFNgMZEVRQLsEC95IoA3Nf+/ofkBAAD//wMAUEsBAi0AFAAGAAgAAAAhALaDOJL+AAAA4QEAABMA&#10;AAAAAAAAAAAAAAAAAAAAAFtDb250ZW50X1R5cGVzXS54bWxQSwECLQAUAAYACAAAACEAOP0h/9YA&#10;AACUAQAACwAAAAAAAAAAAAAAAAAvAQAAX3JlbHMvLnJlbHNQSwECLQAUAAYACAAAACEA1wNq9QwC&#10;AACtBAAADgAAAAAAAAAAAAAAAAAuAgAAZHJzL2Uyb0RvYy54bWxQSwECLQAUAAYACAAAACEAxnQ0&#10;CuAAAAALAQAADwAAAAAAAAAAAAAAAABmBAAAZHJzL2Rvd25yZXYueG1sUEsFBgAAAAAEAAQA8wAA&#10;AHMFAAAAAA==&#10;" adj="10551,18838" fillcolor="#00b050" strokeweight=".26mm"/>
            </w:pict>
          </mc:Fallback>
        </mc:AlternateConten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7708CD" w:rsidRPr="007708CD" w:rsidRDefault="007708CD" w:rsidP="007708C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708CD">
        <w:rPr>
          <w:sz w:val="28"/>
          <w:szCs w:val="28"/>
        </w:rPr>
        <w:t>Наибольшее количество пожаров происходило в субботу – 14</w:t>
      </w:r>
      <w:r>
        <w:rPr>
          <w:sz w:val="28"/>
          <w:szCs w:val="28"/>
        </w:rPr>
        <w:t>20</w:t>
      </w:r>
      <w:r w:rsidRPr="007708CD">
        <w:rPr>
          <w:sz w:val="28"/>
          <w:szCs w:val="28"/>
        </w:rPr>
        <w:t xml:space="preserve"> (17% от общего количества).</w:t>
      </w:r>
    </w:p>
    <w:p w:rsidR="007708CD" w:rsidRPr="007708CD" w:rsidRDefault="007708CD" w:rsidP="007708C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708CD">
        <w:rPr>
          <w:sz w:val="28"/>
          <w:szCs w:val="28"/>
        </w:rPr>
        <w:t>Наименьшее количество пожаров происходило в пятницу – 1103 (13% от общего количества).</w:t>
      </w:r>
    </w:p>
    <w:p w:rsidR="007708CD" w:rsidRPr="007708CD" w:rsidRDefault="007708CD" w:rsidP="007708C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708CD">
        <w:rPr>
          <w:sz w:val="28"/>
          <w:szCs w:val="28"/>
        </w:rPr>
        <w:t>Наибольшее количество погибших зарегистрировано в субботу – 46 (19% от общего количества).</w:t>
      </w:r>
    </w:p>
    <w:p w:rsidR="009F36DF" w:rsidRDefault="007708CD" w:rsidP="007708C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708CD">
        <w:rPr>
          <w:sz w:val="28"/>
          <w:szCs w:val="28"/>
        </w:rPr>
        <w:t>Наименьшее количество погибших зарегистрировано во вторник – 23 (10% от общего количества).</w:t>
      </w:r>
    </w:p>
    <w:p w:rsidR="009F36DF" w:rsidRDefault="009F36DF">
      <w:pPr>
        <w:shd w:val="clear" w:color="auto" w:fill="FFFFFF"/>
        <w:jc w:val="both"/>
      </w:pPr>
    </w:p>
    <w:p w:rsidR="009F36DF" w:rsidRDefault="007708CD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52515" cy="3390900"/>
            <wp:effectExtent l="0" t="0" r="63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36DF" w:rsidRDefault="007708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людей погибло в ночное время (00.00-08.00) – 104 человека (43% от общего количества). В 3 случаях  момент гибели людей не установлен.</w:t>
      </w:r>
    </w:p>
    <w:p w:rsidR="009F36DF" w:rsidRDefault="009F36DF">
      <w:pPr>
        <w:shd w:val="clear" w:color="auto" w:fill="FFFFFF"/>
        <w:jc w:val="both"/>
      </w:pPr>
    </w:p>
    <w:p w:rsidR="009F36DF" w:rsidRDefault="007708CD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35179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человек погибло вследствие отравления токсичными продуктами горения при пожаре – 165 человек (69% от общего количества).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52515" cy="340423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9F36DF" w:rsidRDefault="007708C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погибших составили пенсионеры – 91 человек (38% от общего количества).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01"/>
        <w:gridCol w:w="740"/>
        <w:gridCol w:w="740"/>
        <w:gridCol w:w="1048"/>
        <w:gridCol w:w="1018"/>
      </w:tblGrid>
      <w:tr w:rsidR="009F36DF">
        <w:trPr>
          <w:trHeight w:val="375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обш</w:t>
            </w:r>
            <w:proofErr w:type="spellEnd"/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Работник рабочих специальностей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39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31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-20,5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12,9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roofErr w:type="spellStart"/>
            <w:r>
              <w:t>Инженерно</w:t>
            </w:r>
            <w:proofErr w:type="spellEnd"/>
            <w:r>
              <w:t>–технический работник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Руководитель организации (предприятия)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Индивидуальный предприниматель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Безработный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41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34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-17,1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14,2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Лицо, находящееся в местах лишения свободы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Домработница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Работник пожарной охраны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Служащие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0,4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r>
              <w:t>Прочее трудоспособное население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11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8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-27,3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3,3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Ребенок дошкольного возраста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11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5,5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0,8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Ребенок младшего школьного возраста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0,8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Ребенок среднего и старшего школьного возраста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0,4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Пенсионер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103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91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-11,7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37,9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Инвалид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7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14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5,8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БОМЖ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0,8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Иностранный гражданин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3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0,0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Лицо без гражданства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0,4</w:t>
            </w:r>
          </w:p>
        </w:tc>
      </w:tr>
      <w:tr w:rsidR="009F36DF">
        <w:trPr>
          <w:trHeight w:val="315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proofErr w:type="gramStart"/>
            <w:r>
              <w:t>C</w:t>
            </w:r>
            <w:proofErr w:type="gramEnd"/>
            <w:r>
              <w:t>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30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53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76,7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7708CD">
            <w:pPr>
              <w:jc w:val="center"/>
            </w:pPr>
            <w:r>
              <w:t>22,1</w:t>
            </w:r>
          </w:p>
        </w:tc>
      </w:tr>
    </w:tbl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 Обстановка с пожарами и их последствиями</w:t>
      </w: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9F36DF" w:rsidRDefault="007708CD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Группы объектов</w:t>
      </w:r>
    </w:p>
    <w:p w:rsidR="009F36DF" w:rsidRDefault="007708CD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3814445"/>
            <wp:effectExtent l="0" t="0" r="63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36DF" w:rsidRDefault="007708CD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Группы причин</w:t>
      </w: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152515" cy="4315460"/>
            <wp:effectExtent l="0" t="0" r="635" b="889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Обстановка с пожарами и их последствиями</w:t>
      </w: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городской местности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городской</w:t>
      </w:r>
      <w:r w:rsidR="009E6B87">
        <w:rPr>
          <w:sz w:val="28"/>
          <w:szCs w:val="28"/>
        </w:rPr>
        <w:t xml:space="preserve"> местности зарегистрировано 5867</w:t>
      </w:r>
      <w:r>
        <w:rPr>
          <w:sz w:val="28"/>
          <w:szCs w:val="28"/>
        </w:rPr>
        <w:t xml:space="preserve"> пожаров (69%), на которых погиб 161 человек (67%), в том числе 4 несовершеннолетних (80%), получили травмы 205 человек (76%).</w: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9F36DF" w:rsidRDefault="009F36DF">
      <w:pPr>
        <w:jc w:val="both"/>
        <w:rPr>
          <w:sz w:val="28"/>
          <w:szCs w:val="28"/>
        </w:rPr>
      </w:pPr>
    </w:p>
    <w:p w:rsidR="009F36DF" w:rsidRDefault="007708CD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3278505"/>
            <wp:effectExtent l="0" t="0" r="19685" b="171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36DF" w:rsidRDefault="009F36DF">
      <w:pPr>
        <w:jc w:val="both"/>
        <w:rPr>
          <w:sz w:val="28"/>
          <w:szCs w:val="28"/>
        </w:rPr>
      </w:pPr>
    </w:p>
    <w:p w:rsidR="009F36DF" w:rsidRDefault="009F36DF">
      <w:pPr>
        <w:jc w:val="both"/>
        <w:rPr>
          <w:sz w:val="28"/>
          <w:szCs w:val="28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причинами пожаров в городской местности являются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</w:t>
      </w:r>
      <w:r w:rsidR="009E6B87">
        <w:rPr>
          <w:sz w:val="28"/>
          <w:szCs w:val="28"/>
        </w:rPr>
        <w:t>орожное обращение с огнем – 3426</w:t>
      </w:r>
      <w:r>
        <w:rPr>
          <w:sz w:val="28"/>
          <w:szCs w:val="28"/>
        </w:rPr>
        <w:t xml:space="preserve"> пожаров (58% от общего количества пожаров в городской местности), в том числе: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неосторожное обращение с огнем при курении – 2253 (38%);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детская шалость – 13 (0%);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973 (17%).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310 (5%).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506 (9%).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Нарушение привил устройства и эксплуатации транспортных средств – 223 (4%).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Иные причины – 429 (7%).</w:t>
      </w: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Обстановка с пожарами по группам объектов </w:t>
      </w:r>
      <w:r>
        <w:rPr>
          <w:b/>
          <w:bCs/>
          <w:sz w:val="28"/>
          <w:szCs w:val="28"/>
        </w:rPr>
        <w:t>в городской местности</w:t>
      </w:r>
    </w:p>
    <w:p w:rsidR="009F36DF" w:rsidRDefault="009F36DF">
      <w:pPr>
        <w:shd w:val="clear" w:color="auto" w:fill="FFFFFF" w:themeFill="background1"/>
        <w:jc w:val="center"/>
        <w:rPr>
          <w:sz w:val="28"/>
          <w:szCs w:val="28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082665" cy="349313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4. Обстановка с пожарами и их последствиями </w:t>
      </w:r>
    </w:p>
    <w:p w:rsidR="009F36DF" w:rsidRDefault="007708C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>в сельской местности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сельской местности зарегистрировано 2616 пожаров (31%), на которых погибло 79 человек (33%), в том числе 1 несовершеннолетний (20%), получили травмы 64 человека (24%).</w:t>
      </w:r>
    </w:p>
    <w:p w:rsidR="009F36DF" w:rsidRDefault="009E6B8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C1911" wp14:editId="440A8ECC">
                <wp:simplePos x="0" y="0"/>
                <wp:positionH relativeFrom="column">
                  <wp:posOffset>4831715</wp:posOffset>
                </wp:positionH>
                <wp:positionV relativeFrom="paragraph">
                  <wp:posOffset>1163320</wp:posOffset>
                </wp:positionV>
                <wp:extent cx="527050" cy="309245"/>
                <wp:effectExtent l="0" t="19050" r="44450" b="14605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27050" cy="309245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type="#_x0000_t105" style="position:absolute;margin-left:380.45pt;margin-top:91.6pt;width:41.5pt;height:24.3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TKGAIAAEEEAAAOAAAAZHJzL2Uyb0RvYy54bWysU02P2jAQvVfqf7B8Lwmh2WURYbVaSnvY&#10;bpG2/QHGdohbf8k2BP59x0PKwvZWNQfLjmfevHnPM78/GE32MkTlbEPHo5ISabkTym4b+uP76sOU&#10;kpiYFUw7Kxt6lJHeL96/m/d+JivXOS1kIABi46z3De1S8rOiiLyThsWR89LCZeuCYQmOYVuIwHpA&#10;N7qoyvKm6F0QPjguY4S/y9MlXSB+20qevrVtlInohgK3hGvAdZPXYjFns21gvlN8oMH+gYVhykLR&#10;M9SSJUZ2Qf0FZRQPLro2jbgzhWtbxSX2AN2MyzfdvHTMS+wFxIn+LFP8f7D8eb8ORImGViCPZQY8&#10;etglh6VJlfXpfZxB2Itfh9xh9E+O/4rEuseO2a18CMH1nWQCWI1zfHGVkA8RUsmm/+oEoDNAR6kO&#10;bTAkOLBkXE7L/FHSauW/ZJxcCdQhB7TqeLZKHhLh8LOubssaEjhcTcq76mONpdkso+ZkH2L6LJ0h&#10;edNQvgt7KZaut8gX8dn+KSY0TQydM/FzDCSMhjewZ5rc3N5OERiMvYipLmPGk7qeolDXQZPLoEn+&#10;BoZD2eKVI8rqtBIrpTUewnbzqAMBDg1drVCbrCyofxmmLekbeldXNfZzdRcvIVBdfOxvIYxKMH9a&#10;mYYOHuBEZD8/WYH7xJQ+7SFZ28Hg7OnpbWycOK7DH+PhnSLRYabyIFyeMft18he/AQAA//8DAFBL&#10;AwQUAAYACAAAACEABTH6kd8AAAALAQAADwAAAGRycy9kb3ducmV2LnhtbEyP3U6EMBBG7018h2ZM&#10;vHPLjyIgZeMaTfZqE9EH6NIRiHRKaHdBn97xSi9nvpNvzlTb1Y7ijLMfHCmINxEIpNaZgToF728v&#10;NzkIHzQZPTpCBV/oYVtfXlS6NG6hVzw3oRNcQr7UCvoQplJK3/Zotd+4CYmzDzdbHXicO2lmvXC5&#10;HWUSRZm0eiC+0OsJn3psP5uTVbDL4qWh/a7oD83e3n13Rf5MRqnrq/XxAUTANfzB8KvP6lCz09Gd&#10;yHgxKrjPooJRDvI0AcFEfpvy5qggSeMCZF3J/z/UPwAAAP//AwBQSwECLQAUAAYACAAAACEAtoM4&#10;kv4AAADhAQAAEwAAAAAAAAAAAAAAAAAAAAAAW0NvbnRlbnRfVHlwZXNdLnhtbFBLAQItABQABgAI&#10;AAAAIQA4/SH/1gAAAJQBAAALAAAAAAAAAAAAAAAAAC8BAABfcmVscy8ucmVsc1BLAQItABQABgAI&#10;AAAAIQB1UWTKGAIAAEEEAAAOAAAAAAAAAAAAAAAAAC4CAABkcnMvZTJvRG9jLnhtbFBLAQItABQA&#10;BgAIAAAAIQAFMfqR3wAAAAsBAAAPAAAAAAAAAAAAAAAAAHIEAABkcnMvZG93bnJldi54bWxQSwUG&#10;AAAAAAQABADzAAAAfgUAAAAA&#10;" adj="4417,17304" fillcolor="red"/>
            </w:pict>
          </mc:Fallback>
        </mc:AlternateContent>
      </w:r>
      <w:r w:rsidR="007708CD">
        <w:rPr>
          <w:noProof/>
        </w:rPr>
        <w:drawing>
          <wp:inline distT="0" distB="0" distL="0" distR="0">
            <wp:extent cx="6152515" cy="3568065"/>
            <wp:effectExtent l="0" t="0" r="19685" b="1333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708CD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E944A10">
                <wp:simplePos x="0" y="0"/>
                <wp:positionH relativeFrom="column">
                  <wp:posOffset>2235835</wp:posOffset>
                </wp:positionH>
                <wp:positionV relativeFrom="paragraph">
                  <wp:posOffset>1133475</wp:posOffset>
                </wp:positionV>
                <wp:extent cx="620395" cy="283845"/>
                <wp:effectExtent l="0" t="0" r="46990" b="40640"/>
                <wp:wrapNone/>
                <wp:docPr id="13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20" cy="283320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7" fillcolor="#00b050" stroked="t" style="position:absolute;margin-left:176.05pt;margin-top:89.25pt;width:48.75pt;height:22.25pt" wp14:anchorId="0E944A10">
                <w10:wrap type="none"/>
                <v:fill o:detectmouseclick="t" type="solid" color2="#ff4faf"/>
                <v:stroke color="black" weight="9360" joinstyle="miter" endcap="flat"/>
              </v:rect>
            </w:pict>
          </mc:Fallback>
        </mc:AlternateContent>
      </w:r>
      <w:r w:rsidR="007708CD"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4F34E4BF">
                <wp:simplePos x="0" y="0"/>
                <wp:positionH relativeFrom="column">
                  <wp:posOffset>3445510</wp:posOffset>
                </wp:positionH>
                <wp:positionV relativeFrom="paragraph">
                  <wp:posOffset>1699260</wp:posOffset>
                </wp:positionV>
                <wp:extent cx="620395" cy="283845"/>
                <wp:effectExtent l="0" t="0" r="46990" b="40640"/>
                <wp:wrapNone/>
                <wp:docPr id="14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20" cy="283320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7" fillcolor="#00b050" stroked="t" style="position:absolute;margin-left:271.3pt;margin-top:133.8pt;width:48.75pt;height:22.25pt" wp14:anchorId="4F34E4BF">
                <w10:wrap type="none"/>
                <v:fill o:detectmouseclick="t" type="solid" color2="#ff4faf"/>
                <v:stroke color="black" weight="9360" joinstyle="miter" endcap="flat"/>
              </v:rect>
            </w:pict>
          </mc:Fallback>
        </mc:AlternateContent>
      </w:r>
    </w:p>
    <w:p w:rsidR="009F36DF" w:rsidRDefault="009F36D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F36DF" w:rsidRDefault="009F36D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9F36DF" w:rsidRDefault="009F36D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9F36DF" w:rsidRDefault="007708CD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Основными причинами пожаров в сельской местности являются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1307 пожаров (50% от общего количества пожаров в сельской местности), в том числе: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неосторожное обращение с огнем при курении – 733 (28%);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детская шалость – 6 (0%);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523 (20%).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260 (10%).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77 (3%).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Нарушение привил устройства и эксплуатации транспортных средств – 80 (3%).</w:t>
      </w:r>
    </w:p>
    <w:p w:rsidR="009F36DF" w:rsidRDefault="007708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Иные причины – 369 (14%).</w:t>
      </w: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9F36D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36DF" w:rsidRDefault="007708CD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9F36DF" w:rsidRDefault="009F36D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152515" cy="3400425"/>
            <wp:effectExtent l="0" t="0" r="63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 Обстановка с пожарами и их последствиями в зданиях и сооружениях</w:t>
      </w: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5.1. Общие сведения</w:t>
      </w: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152515" cy="3370580"/>
            <wp:effectExtent l="0" t="0" r="19685" b="203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F36DF" w:rsidRDefault="009F36D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F36DF" w:rsidRDefault="009F36D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3648710"/>
            <wp:effectExtent l="0" t="0" r="38735" b="889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F36DF" w:rsidRDefault="009F36D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9F36DF" w:rsidRDefault="007708CD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пожаров по основным причинам в зданиях и сооружениях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1250 пожаров (32% от общего количества пожаров в зданиях и сооружениях), в том числе: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неосторожное обращение с огнем при курении – 830 (21%);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детская шалость – 17 (0%);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Нарушение правил устройства и эксплуатации электрооборудования – 1469 (38%).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568 (15%).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330 (8%).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Иные причины – 270 (7%).</w: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5.2. Пожары в зданиях жилого назначения</w:t>
      </w:r>
    </w:p>
    <w:p w:rsidR="009F36DF" w:rsidRDefault="007708CD">
      <w:pPr>
        <w:shd w:val="clear" w:color="auto" w:fill="FFFFFF"/>
        <w:jc w:val="center"/>
        <w:rPr>
          <w:b/>
          <w:bCs/>
          <w:sz w:val="32"/>
          <w:szCs w:val="28"/>
        </w:rPr>
      </w:pPr>
      <w:r>
        <w:rPr>
          <w:noProof/>
        </w:rPr>
        <w:drawing>
          <wp:inline distT="0" distB="0" distL="0" distR="0">
            <wp:extent cx="6152515" cy="3269615"/>
            <wp:effectExtent l="0" t="0" r="19685" b="2603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пожаров данной категории произошло в одноквартирных жилых домах 889 пожаров (32% от общего количества пожаров данной категории), на которых погибло 113 человека (53%), в том числе 4 несовершеннолетних (80%), получили травмы 76 человек (32%).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многоквартирных жилых домах  произошло</w:t>
      </w:r>
      <w:bookmarkStart w:id="0" w:name="_GoBack"/>
      <w:bookmarkEnd w:id="0"/>
      <w:r>
        <w:rPr>
          <w:sz w:val="28"/>
          <w:szCs w:val="28"/>
        </w:rPr>
        <w:t xml:space="preserve"> 708 пожаров (26%), на которых погибло 65 человек (30%), гибели детей не допущено, получили травмы 120 человек (51%).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иных объектах жилого назначения, в том числе дачные (садовые) дома, бани, надворные постройки и т.п. произошло 1155 пожаров (42%), на которых погибло 36 человек (17%), в том числе 1 несовершеннолетний (20%), получили травмы 39 человек (17%).</w: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9F36DF" w:rsidRDefault="007708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пожаров по основным причинам в зданиях жилого назначения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544 пожара (20% от общего количества пожаров в зданиях жилого назначения), в том числе: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неосторожное обращение с огнем при курении – 339 (12%);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детская шалость – 11 (0%);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1256 (46%).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530 (19%).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Поджог – 241 (9%).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Иные причины – 1316 (48%).</w: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9F36DF" w:rsidRDefault="007708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Обстановка с пожарами и их последствиями на открытых территориях</w: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9F36DF" w:rsidRDefault="007708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по объектам пожаров на открытых территориях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открытых территориях (мусор, трава и т.п.)  произошло 413</w:t>
      </w:r>
      <w:r w:rsidR="009E6B87">
        <w:rPr>
          <w:sz w:val="28"/>
          <w:szCs w:val="28"/>
        </w:rPr>
        <w:t>9</w:t>
      </w:r>
      <w:r>
        <w:rPr>
          <w:sz w:val="28"/>
          <w:szCs w:val="28"/>
        </w:rPr>
        <w:t xml:space="preserve"> пожаров (АППГ - 3925, увеличение на -5%), на которых погиб 1 человек (АППГ - 2, снижение на 100%), получили травмы 3 человека (АППГ - 2, увеличение на -33%).</w:t>
      </w:r>
    </w:p>
    <w:p w:rsidR="009F36DF" w:rsidRDefault="009F36DF">
      <w:pPr>
        <w:ind w:firstLine="709"/>
        <w:jc w:val="both"/>
        <w:rPr>
          <w:sz w:val="28"/>
          <w:szCs w:val="28"/>
        </w:rPr>
      </w:pPr>
    </w:p>
    <w:p w:rsidR="009F36DF" w:rsidRDefault="007708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по основным причинам пожаров на открытых территориях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Неосторожное обращение с огнем – 346</w:t>
      </w:r>
      <w:r w:rsidR="009E6B87">
        <w:rPr>
          <w:sz w:val="28"/>
          <w:szCs w:val="28"/>
        </w:rPr>
        <w:t>2</w:t>
      </w:r>
      <w:r>
        <w:rPr>
          <w:sz w:val="28"/>
          <w:szCs w:val="28"/>
        </w:rPr>
        <w:t xml:space="preserve"> пожар</w:t>
      </w:r>
      <w:r w:rsidR="009E6B87">
        <w:rPr>
          <w:sz w:val="28"/>
          <w:szCs w:val="28"/>
        </w:rPr>
        <w:t>а</w:t>
      </w:r>
      <w:r>
        <w:rPr>
          <w:sz w:val="28"/>
          <w:szCs w:val="28"/>
        </w:rPr>
        <w:t xml:space="preserve"> (84% от общего количества пожаров в зданиях жилого назначения), в том числе: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неосторожное обращение с огнем при курении – 2147 (52%);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детская шалость – 2 (0%);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правил устройства и эксплуатации электрооборудования – 26 (1%).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Нарушение правил устройства и эксплуатации печного оборудования – 1 (0%).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Поджог – 135 (3%).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Нарушение привил устройства и эксплуатации транспортных средств – 2 (0%).</w:t>
      </w:r>
    </w:p>
    <w:p w:rsidR="009F36DF" w:rsidRDefault="00770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Иные причины – 513 (12%).</w:t>
      </w:r>
    </w:p>
    <w:p w:rsidR="009F36DF" w:rsidRDefault="007708CD">
      <w:pPr>
        <w:rPr>
          <w:b/>
          <w:bCs/>
          <w:sz w:val="32"/>
          <w:szCs w:val="28"/>
        </w:rPr>
      </w:pPr>
      <w:r>
        <w:br w:type="page"/>
      </w:r>
    </w:p>
    <w:p w:rsidR="009F36DF" w:rsidRDefault="007708C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 xml:space="preserve">7. Описание отрицательных показателей обстановки с пожарами </w:t>
      </w:r>
    </w:p>
    <w:p w:rsidR="009F36DF" w:rsidRDefault="007708CD">
      <w:pPr>
        <w:shd w:val="clear" w:color="auto" w:fill="FFFFFF"/>
        <w:ind w:left="-142"/>
        <w:jc w:val="center"/>
        <w:rPr>
          <w:b/>
          <w:bCs/>
        </w:rPr>
      </w:pPr>
      <w:r>
        <w:rPr>
          <w:b/>
          <w:bCs/>
        </w:rPr>
        <w:t>и их последствиями в муниципальных образованиях Свердловской области</w:t>
      </w:r>
    </w:p>
    <w:p w:rsidR="009F36DF" w:rsidRDefault="009F36DF">
      <w:pPr>
        <w:ind w:firstLine="709"/>
        <w:jc w:val="both"/>
      </w:pPr>
    </w:p>
    <w:p w:rsidR="009F36DF" w:rsidRDefault="007708CD">
      <w:pPr>
        <w:ind w:firstLine="709"/>
        <w:jc w:val="both"/>
      </w:pPr>
      <w:r>
        <w:t>В 40 муниципальных образованиях Свердловской области отмечается рост количества пожаров.</w:t>
      </w:r>
    </w:p>
    <w:tbl>
      <w:tblPr>
        <w:tblW w:w="4960" w:type="dxa"/>
        <w:tblInd w:w="109" w:type="dxa"/>
        <w:tblLook w:val="04A0" w:firstRow="1" w:lastRow="0" w:firstColumn="1" w:lastColumn="0" w:noHBand="0" w:noVBand="1"/>
      </w:tblPr>
      <w:tblGrid>
        <w:gridCol w:w="3039"/>
        <w:gridCol w:w="961"/>
        <w:gridCol w:w="960"/>
      </w:tblGrid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9F36D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Екатеринбург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1686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Каменский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275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Артёмовский</w:t>
            </w:r>
            <w:proofErr w:type="gram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222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Кушвинский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213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Березовский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201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Горноуральский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195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Верхняя Пышма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185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Невьянский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165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Нижнетуринский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157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Алапаевск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147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138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131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Тавдинский</w:t>
            </w:r>
            <w:proofErr w:type="gram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130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МО </w:t>
            </w:r>
            <w:proofErr w:type="spellStart"/>
            <w:r>
              <w:t>Алапаевское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Ревда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110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Ирбитское</w:t>
            </w:r>
            <w:proofErr w:type="spellEnd"/>
            <w:r>
              <w:t xml:space="preserve"> МО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107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Краснотурьинск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98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МО </w:t>
            </w:r>
            <w:proofErr w:type="spellStart"/>
            <w:r>
              <w:t>Камышловский</w:t>
            </w:r>
            <w:proofErr w:type="spellEnd"/>
            <w:r>
              <w:t xml:space="preserve"> МР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Махневское</w:t>
            </w:r>
            <w:proofErr w:type="spellEnd"/>
            <w:r>
              <w:t xml:space="preserve"> МО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79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Полевской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Кировградский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Туринский</w:t>
            </w:r>
            <w:proofErr w:type="gram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Новолялинский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70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68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Асбестовский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Ирбит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65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Среднеуральск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64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ГО </w:t>
            </w:r>
            <w:proofErr w:type="gramStart"/>
            <w:r>
              <w:t>Верхотурский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60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Сосьвинский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56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Артинский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54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Дегтярск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50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Слободо</w:t>
            </w:r>
            <w:proofErr w:type="spellEnd"/>
            <w:r>
              <w:t>-Туринский МР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39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Байкаловский</w:t>
            </w:r>
            <w:proofErr w:type="spellEnd"/>
            <w:r>
              <w:t xml:space="preserve"> МР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38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Ачитский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35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Бисертский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33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lastRenderedPageBreak/>
              <w:t>ГО Верхний Тагил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19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Верхнее Дуброво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17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Гаринский</w:t>
            </w:r>
            <w:proofErr w:type="spellEnd"/>
            <w:r>
              <w:t xml:space="preserve">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Малышевский 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13</w:t>
            </w:r>
          </w:p>
        </w:tc>
      </w:tr>
      <w:tr w:rsidR="009F36DF">
        <w:trPr>
          <w:trHeight w:val="37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ГО </w:t>
            </w:r>
            <w:proofErr w:type="spellStart"/>
            <w:r>
              <w:t>Рефтинский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</w:t>
            </w:r>
          </w:p>
        </w:tc>
      </w:tr>
    </w:tbl>
    <w:p w:rsidR="009F36DF" w:rsidRDefault="009F36DF">
      <w:pPr>
        <w:ind w:firstLine="709"/>
        <w:jc w:val="both"/>
      </w:pPr>
    </w:p>
    <w:p w:rsidR="009F36DF" w:rsidRDefault="009F36DF">
      <w:pPr>
        <w:ind w:firstLine="709"/>
        <w:jc w:val="both"/>
      </w:pPr>
    </w:p>
    <w:p w:rsidR="009F36DF" w:rsidRDefault="007708CD">
      <w:pPr>
        <w:ind w:firstLine="709"/>
        <w:jc w:val="both"/>
      </w:pPr>
      <w:r>
        <w:t>В 28 муниципальном образовании Свердловской области зарегистрировано увеличение количества погибших на пожарах людей.</w:t>
      </w:r>
    </w:p>
    <w:tbl>
      <w:tblPr>
        <w:tblW w:w="5840" w:type="dxa"/>
        <w:tblInd w:w="109" w:type="dxa"/>
        <w:tblLook w:val="04A0" w:firstRow="1" w:lastRow="0" w:firstColumn="1" w:lastColumn="0" w:noHBand="0" w:noVBand="1"/>
      </w:tblPr>
      <w:tblGrid>
        <w:gridCol w:w="3160"/>
        <w:gridCol w:w="1419"/>
        <w:gridCol w:w="1261"/>
      </w:tblGrid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9F36D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Екатеринбург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43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Сысертский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Горноуральский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Нижнетуринский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Серовский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Каменск-Уральский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ГО </w:t>
            </w:r>
            <w:proofErr w:type="gramStart"/>
            <w:r>
              <w:t>Верхотурский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МО </w:t>
            </w:r>
            <w:proofErr w:type="spellStart"/>
            <w:r>
              <w:t>Красноуфимский</w:t>
            </w:r>
            <w:proofErr w:type="spellEnd"/>
            <w:r>
              <w:t xml:space="preserve"> округ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Тавдинский</w:t>
            </w:r>
            <w:proofErr w:type="gram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Ревда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Тугулымский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Верхнесалдинский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Асбестовский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Ирбит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Камышловский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Арамильский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Карпинск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Бисертский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Байкаловский</w:t>
            </w:r>
            <w:proofErr w:type="spellEnd"/>
            <w:r>
              <w:t xml:space="preserve"> МР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Дегтярск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Красноуральск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Североуральский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Пышминский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Среднеуральск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Ачитский</w:t>
            </w:r>
            <w:proofErr w:type="spell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</w:tr>
      <w:tr w:rsidR="009F36DF">
        <w:trPr>
          <w:trHeight w:val="37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Качканарский</w:t>
            </w:r>
            <w:proofErr w:type="gramEnd"/>
            <w:r>
              <w:t xml:space="preserve"> 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</w:tr>
    </w:tbl>
    <w:p w:rsidR="009F36DF" w:rsidRDefault="009F36DF">
      <w:pPr>
        <w:ind w:firstLine="709"/>
        <w:jc w:val="both"/>
      </w:pPr>
    </w:p>
    <w:p w:rsidR="009F36DF" w:rsidRDefault="007708CD">
      <w:pPr>
        <w:ind w:firstLine="709"/>
        <w:jc w:val="both"/>
      </w:pPr>
      <w:r>
        <w:lastRenderedPageBreak/>
        <w:t>В 3 муниципальных образованиях Свердловской области зарегистрировано увеличение количества погибших на пожарах детей.</w:t>
      </w:r>
    </w:p>
    <w:tbl>
      <w:tblPr>
        <w:tblW w:w="3900" w:type="dxa"/>
        <w:tblInd w:w="109" w:type="dxa"/>
        <w:tblLook w:val="04A0" w:firstRow="1" w:lastRow="0" w:firstColumn="1" w:lastColumn="0" w:noHBand="0" w:noVBand="1"/>
      </w:tblPr>
      <w:tblGrid>
        <w:gridCol w:w="2327"/>
        <w:gridCol w:w="696"/>
        <w:gridCol w:w="877"/>
      </w:tblGrid>
      <w:tr w:rsidR="009F36DF">
        <w:trPr>
          <w:trHeight w:val="37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9F36D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9F36DF">
        <w:trPr>
          <w:trHeight w:val="37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Камышловский</w:t>
            </w:r>
            <w:proofErr w:type="spellEnd"/>
            <w:r>
              <w:t xml:space="preserve"> ГО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</w:tr>
      <w:tr w:rsidR="009F36DF">
        <w:trPr>
          <w:trHeight w:val="37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Тугулымский</w:t>
            </w:r>
            <w:proofErr w:type="spellEnd"/>
            <w:r>
              <w:t xml:space="preserve"> ГО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</w:tr>
      <w:tr w:rsidR="009F36DF">
        <w:trPr>
          <w:trHeight w:val="37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</w:tr>
    </w:tbl>
    <w:p w:rsidR="009F36DF" w:rsidRDefault="009F36DF">
      <w:pPr>
        <w:ind w:firstLine="709"/>
        <w:jc w:val="both"/>
      </w:pPr>
    </w:p>
    <w:p w:rsidR="009F36DF" w:rsidRDefault="007708CD">
      <w:pPr>
        <w:ind w:firstLine="709"/>
        <w:jc w:val="both"/>
      </w:pPr>
      <w:r>
        <w:t>В 35 муниципальных образованиях Свердловской области зарегистрировано увеличение количества пожаров в зданиях, сооружениях.</w:t>
      </w:r>
    </w:p>
    <w:tbl>
      <w:tblPr>
        <w:tblW w:w="4436" w:type="dxa"/>
        <w:tblInd w:w="109" w:type="dxa"/>
        <w:tblLook w:val="04A0" w:firstRow="1" w:lastRow="0" w:firstColumn="1" w:lastColumn="0" w:noHBand="0" w:noVBand="1"/>
      </w:tblPr>
      <w:tblGrid>
        <w:gridCol w:w="2826"/>
        <w:gridCol w:w="696"/>
        <w:gridCol w:w="914"/>
      </w:tblGrid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9F36D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Екатеринбург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689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727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Сысертский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125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Первоуральск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111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Верхняя Пышма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100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Березовский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100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Горноуральский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89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Артёмовский</w:t>
            </w:r>
            <w:proofErr w:type="gram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81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80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Тавдинский</w:t>
            </w:r>
            <w:proofErr w:type="gram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75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Ревда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71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58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Тугулымский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57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Асбестовский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49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Ирбитское</w:t>
            </w:r>
            <w:proofErr w:type="spellEnd"/>
            <w:r>
              <w:t xml:space="preserve"> МО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46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Ирбит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39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МО </w:t>
            </w:r>
            <w:proofErr w:type="spellStart"/>
            <w:r>
              <w:t>Камышловский</w:t>
            </w:r>
            <w:proofErr w:type="spellEnd"/>
            <w:r>
              <w:t xml:space="preserve"> МР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38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Пышминский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36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Дегтярск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36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Карпинск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36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Туринский</w:t>
            </w:r>
            <w:proofErr w:type="gram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33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32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Новолялинский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31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Кировградский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31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ГО </w:t>
            </w:r>
            <w:proofErr w:type="gramStart"/>
            <w:r>
              <w:t>Верхотурский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30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Ачитский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22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Бисертский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20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МО </w:t>
            </w:r>
            <w:proofErr w:type="spellStart"/>
            <w:r>
              <w:t>Алапаевское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19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Среднеуральск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17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Верхняя Тура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Верхнее Дуброво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lastRenderedPageBreak/>
              <w:t>Волчанский</w:t>
            </w:r>
            <w:proofErr w:type="spellEnd"/>
            <w:r>
              <w:t xml:space="preserve">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Верхний Тагил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Махневское</w:t>
            </w:r>
            <w:proofErr w:type="spellEnd"/>
            <w:r>
              <w:t xml:space="preserve"> МО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Малышевский ГО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</w:t>
            </w:r>
          </w:p>
        </w:tc>
      </w:tr>
      <w:tr w:rsidR="009F36DF">
        <w:trPr>
          <w:trHeight w:val="37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ГО </w:t>
            </w:r>
            <w:proofErr w:type="spellStart"/>
            <w:r>
              <w:t>Рефтинский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</w:tr>
    </w:tbl>
    <w:p w:rsidR="009F36DF" w:rsidRDefault="009F36DF">
      <w:pPr>
        <w:ind w:firstLine="709"/>
        <w:jc w:val="both"/>
      </w:pPr>
    </w:p>
    <w:p w:rsidR="009F36DF" w:rsidRDefault="007708CD">
      <w:pPr>
        <w:ind w:firstLine="709"/>
        <w:jc w:val="both"/>
      </w:pPr>
      <w:r>
        <w:t>В 38 муниципальных образованиях Свердловской области зарегистрировано увеличение количества пожаров на открытых территориях.</w:t>
      </w:r>
    </w:p>
    <w:tbl>
      <w:tblPr>
        <w:tblW w:w="5080" w:type="dxa"/>
        <w:tblInd w:w="109" w:type="dxa"/>
        <w:tblLook w:val="04A0" w:firstRow="1" w:lastRow="0" w:firstColumn="1" w:lastColumn="0" w:noHBand="0" w:noVBand="1"/>
      </w:tblPr>
      <w:tblGrid>
        <w:gridCol w:w="3448"/>
        <w:gridCol w:w="696"/>
        <w:gridCol w:w="936"/>
      </w:tblGrid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6DF" w:rsidRDefault="009F36DF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6DF" w:rsidRDefault="00770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Екатеринбург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748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804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Каменский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184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Серовский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134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142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Кушвинский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Алапаевск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119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МО город Каменск-Уральский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119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Нижнетуринский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101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Невьянский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Красноуральск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85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70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Махневское</w:t>
            </w:r>
            <w:proofErr w:type="spellEnd"/>
            <w:r>
              <w:t xml:space="preserve"> МО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68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Ирбитское</w:t>
            </w:r>
            <w:proofErr w:type="spellEnd"/>
            <w:r>
              <w:t xml:space="preserve"> МО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Тавдинский</w:t>
            </w:r>
            <w:proofErr w:type="gram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48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Среднеуральск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46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45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Туринский</w:t>
            </w:r>
            <w:proofErr w:type="gram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42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Нижнесергинский МР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41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Кировградский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41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Краснотурьинск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40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Сосьвинский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39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Новолялинский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Ревда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35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33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gramStart"/>
            <w:r>
              <w:t>Качканарский</w:t>
            </w:r>
            <w:proofErr w:type="gram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28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 xml:space="preserve">МО </w:t>
            </w:r>
            <w:proofErr w:type="spellStart"/>
            <w:r>
              <w:t>Красноуфимский</w:t>
            </w:r>
            <w:proofErr w:type="spellEnd"/>
            <w:r>
              <w:t xml:space="preserve"> округ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21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Байкаловский</w:t>
            </w:r>
            <w:proofErr w:type="spellEnd"/>
            <w:r>
              <w:t xml:space="preserve"> МР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Североуральский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Артинский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18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Ивдельский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Слободо</w:t>
            </w:r>
            <w:proofErr w:type="spellEnd"/>
            <w:r>
              <w:t>-Туринский МР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15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lastRenderedPageBreak/>
              <w:t>Бисертский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Дегтярск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12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Ачитский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11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Полевской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8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roofErr w:type="spellStart"/>
            <w:r>
              <w:t>Гаринский</w:t>
            </w:r>
            <w:proofErr w:type="spellEnd"/>
            <w:r>
              <w:t xml:space="preserve"> 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Староуткинск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Красноуфимск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7</w:t>
            </w:r>
          </w:p>
        </w:tc>
      </w:tr>
      <w:tr w:rsidR="009F36DF">
        <w:trPr>
          <w:trHeight w:val="37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r>
              <w:t>ГО Пелым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36DF" w:rsidRDefault="007708CD">
            <w:pPr>
              <w:jc w:val="center"/>
            </w:pPr>
            <w:r>
              <w:t>3</w:t>
            </w:r>
          </w:p>
        </w:tc>
      </w:tr>
    </w:tbl>
    <w:p w:rsidR="009F36DF" w:rsidRDefault="009F36DF">
      <w:pPr>
        <w:ind w:firstLine="709"/>
        <w:jc w:val="both"/>
      </w:pPr>
    </w:p>
    <w:sectPr w:rsidR="009F36DF">
      <w:headerReference w:type="default" r:id="rId21"/>
      <w:footerReference w:type="default" r:id="rId22"/>
      <w:pgSz w:w="11906" w:h="16838"/>
      <w:pgMar w:top="851" w:right="424" w:bottom="567" w:left="851" w:header="709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CD" w:rsidRDefault="007708CD">
      <w:r>
        <w:separator/>
      </w:r>
    </w:p>
  </w:endnote>
  <w:endnote w:type="continuationSeparator" w:id="0">
    <w:p w:rsidR="007708CD" w:rsidRDefault="0077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8CD" w:rsidRDefault="007708C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CD" w:rsidRDefault="007708CD">
      <w:r>
        <w:separator/>
      </w:r>
    </w:p>
  </w:footnote>
  <w:footnote w:type="continuationSeparator" w:id="0">
    <w:p w:rsidR="007708CD" w:rsidRDefault="00770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871547"/>
      <w:docPartObj>
        <w:docPartGallery w:val="Page Numbers (Top of Page)"/>
        <w:docPartUnique/>
      </w:docPartObj>
    </w:sdtPr>
    <w:sdtContent>
      <w:p w:rsidR="007708CD" w:rsidRDefault="007708CD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6B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DF"/>
    <w:rsid w:val="007708CD"/>
    <w:rsid w:val="009E6B87"/>
    <w:rsid w:val="009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customStyle="1" w:styleId="-">
    <w:name w:val="Интернет-ссылка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72E93"/>
    <w:rPr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rsid w:val="007E38A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f1">
    <w:name w:val="List Paragraph"/>
    <w:basedOn w:val="a"/>
    <w:uiPriority w:val="34"/>
    <w:qFormat/>
    <w:rsid w:val="005B5E56"/>
    <w:pPr>
      <w:ind w:left="720"/>
      <w:contextualSpacing/>
    </w:pPr>
  </w:style>
  <w:style w:type="table" w:styleId="af2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customStyle="1" w:styleId="-">
    <w:name w:val="Интернет-ссылка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72E93"/>
    <w:rPr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rsid w:val="007E38A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f1">
    <w:name w:val="List Paragraph"/>
    <w:basedOn w:val="a"/>
    <w:uiPriority w:val="34"/>
    <w:qFormat/>
    <w:rsid w:val="005B5E56"/>
    <w:pPr>
      <w:ind w:left="720"/>
      <w:contextualSpacing/>
    </w:pPr>
  </w:style>
  <w:style w:type="table" w:styleId="af2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1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4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2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0"/>
      <c:rotY val="0"/>
      <c:rAngAx val="1"/>
    </c:view3D>
    <c:floor>
      <c:thickness val="0"/>
      <c:spPr>
        <a:noFill/>
        <a:ln w="9360">
          <a:noFill/>
        </a:ln>
      </c:spPr>
    </c:floor>
    <c:sideWall>
      <c:thickness val="0"/>
      <c:spPr>
        <a:noFill/>
        <a:ln w="25560">
          <a:noFill/>
        </a:ln>
      </c:spPr>
    </c:sideWall>
    <c:backWall>
      <c:thickness val="0"/>
      <c:spPr>
        <a:noFill/>
        <a:ln w="25560">
          <a:noFill/>
        </a:ln>
      </c:spPr>
    </c:backWall>
    <c:plotArea>
      <c:layout>
        <c:manualLayout>
          <c:layoutTarget val="inner"/>
          <c:xMode val="edge"/>
          <c:yMode val="edge"/>
          <c:x val="2.6312499999999999E-2"/>
          <c:y val="0.239111111111111"/>
          <c:w val="0.95543750000000005"/>
          <c:h val="0.59133333333333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2.0703933747412196E-3"/>
                  <c:y val="-3.037205770690964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-3.7956773390370165E-17"/>
                  <c:y val="-1.82232346241457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2.070393374741201E-3"/>
                  <c:y val="-1.8223234624145785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2.070393374741201E-3"/>
                  <c:y val="-2.1260440394836808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8363</c:v>
                </c:pt>
                <c:pt idx="1">
                  <c:v>250</c:v>
                </c:pt>
                <c:pt idx="2">
                  <c:v>13</c:v>
                </c:pt>
                <c:pt idx="3">
                  <c:v>232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2.0703933747411628E-3"/>
                  <c:y val="-2.4297646165527716E-2"/>
                </c:manualLayout>
              </c:layout>
              <c:tx>
                <c:rich>
                  <a:bodyPr/>
                  <a:lstStyle/>
                  <a:p>
                    <a:pPr>
                      <a:defRPr sz="1000" b="1" strike="noStrike" spc="-1">
                        <a:solidFill>
                          <a:srgbClr val="000000"/>
                        </a:solidFill>
                        <a:latin typeface="Calibri"/>
                      </a:defRPr>
                    </a:pPr>
                    <a:r>
                      <a:rPr lang="en-US" b="1"/>
                      <a:t>848</a:t>
                    </a:r>
                    <a:r>
                      <a:rPr lang="ru-RU" b="1"/>
                      <a:t>3</a:t>
                    </a:r>
                    <a:endParaRPr lang="en-US"/>
                  </a:p>
                </c:rich>
              </c:tx>
              <c:numFmt formatCode="General" sourceLinked="0"/>
              <c:spPr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-7.5913546780740329E-17"/>
                  <c:y val="-1.82232346241457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-7.5913546780740329E-17"/>
                  <c:y val="-2.7334851936218679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0"/>
                  <c:y val="-1.2148823082763802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8482</c:v>
                </c:pt>
                <c:pt idx="1">
                  <c:v>240</c:v>
                </c:pt>
                <c:pt idx="2">
                  <c:v>5</c:v>
                </c:pt>
                <c:pt idx="3">
                  <c:v>269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shape val="cylinder"/>
        <c:axId val="61466112"/>
        <c:axId val="59263232"/>
        <c:axId val="0"/>
      </c:bar3DChart>
      <c:catAx>
        <c:axId val="61466112"/>
        <c:scaling>
          <c:orientation val="minMax"/>
        </c:scaling>
        <c:delete val="0"/>
        <c:axPos val="b"/>
        <c:numFmt formatCode="[$-419]dd/mm/yyyy" sourceLinked="1"/>
        <c:majorTickMark val="none"/>
        <c:minorTickMark val="none"/>
        <c:tickLblPos val="nextTo"/>
        <c:spPr>
          <a:ln w="9360">
            <a:solidFill>
              <a:srgbClr val="595959"/>
            </a:solidFill>
            <a:round/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59263232"/>
        <c:crosses val="autoZero"/>
        <c:auto val="1"/>
        <c:lblAlgn val="ctr"/>
        <c:lblOffset val="100"/>
        <c:noMultiLvlLbl val="0"/>
      </c:catAx>
      <c:valAx>
        <c:axId val="59263232"/>
        <c:scaling>
          <c:logBase val="10"/>
          <c:orientation val="minMax"/>
        </c:scaling>
        <c:delete val="1"/>
        <c:axPos val="l"/>
        <c:numFmt formatCode="0" sourceLinked="0"/>
        <c:majorTickMark val="out"/>
        <c:minorTickMark val="none"/>
        <c:tickLblPos val="nextTo"/>
        <c:crossAx val="61466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1775000000000002"/>
          <c:y val="7.1999999999999995E-2"/>
          <c:w val="0.177386086630414"/>
          <c:h val="7.9008778753194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400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userShapes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5"/>
      <c:rAngAx val="0"/>
      <c:perspective val="3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2.9000000000000001E-2"/>
          <c:y val="0.104"/>
          <c:w val="0.78674999999999995"/>
          <c:h val="0.74222222222222201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bubble3D val="0"/>
            <c:spPr>
              <a:solidFill>
                <a:srgbClr val="31859C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bubble3D val="0"/>
            <c:spPr>
              <a:solidFill>
                <a:srgbClr val="95373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bubble3D val="0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dLbl>
              <c:idx val="0"/>
              <c:layout>
                <c:manualLayout>
                  <c:x val="-1.5758838968658328E-2"/>
                  <c:y val="-9.6453237462964192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1"/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2"/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3"/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4"/>
              <c:layout>
                <c:manualLayout>
                  <c:x val="-0.12396496103621722"/>
                  <c:y val="7.8042597616474405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5"/>
              <c:layout>
                <c:manualLayout>
                  <c:x val="2.9442724458204336E-2"/>
                  <c:y val="0.21181911084643831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6"/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numFmt formatCode="General" sourceLinked="0"/>
            <c:txPr>
              <a:bodyPr/>
              <a:lstStyle/>
              <a:p>
                <a:pPr>
                  <a:defRPr sz="11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1"/>
            <c:separator>
</c:separator>
            <c:showLeaderLines val="0"/>
          </c:dLbls>
          <c:cat>
            <c:strRef>
              <c:f>categories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942</c:v>
                </c:pt>
                <c:pt idx="1">
                  <c:v>7</c:v>
                </c:pt>
                <c:pt idx="2">
                  <c:v>23</c:v>
                </c:pt>
                <c:pt idx="3">
                  <c:v>10</c:v>
                </c:pt>
                <c:pt idx="4">
                  <c:v>102</c:v>
                </c:pt>
                <c:pt idx="5">
                  <c:v>1336</c:v>
                </c:pt>
                <c:pt idx="6">
                  <c:v>196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1"/>
  </c:chart>
  <c:spPr>
    <a:solidFill>
      <a:srgbClr val="FFFFFF"/>
    </a:solidFill>
    <a:ln w="9360"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0"/>
      <c:rotY val="0"/>
      <c:rAngAx val="1"/>
    </c:view3D>
    <c:floor>
      <c:thickness val="0"/>
      <c:spPr>
        <a:noFill/>
        <a:ln w="9360">
          <a:noFill/>
        </a:ln>
      </c:spPr>
    </c:floor>
    <c:sideWall>
      <c:thickness val="0"/>
      <c:spPr>
        <a:noFill/>
        <a:ln w="25560">
          <a:noFill/>
        </a:ln>
      </c:spPr>
    </c:sideWall>
    <c:backWall>
      <c:thickness val="0"/>
      <c:spPr>
        <a:noFill/>
        <a:ln w="25560">
          <a:noFill/>
        </a:ln>
      </c:spPr>
    </c:backWall>
    <c:plotArea>
      <c:layout>
        <c:manualLayout>
          <c:layoutTarget val="inner"/>
          <c:xMode val="edge"/>
          <c:yMode val="edge"/>
          <c:x val="2.6312499999999999E-2"/>
          <c:y val="0.239111111111111"/>
          <c:w val="0.95543750000000005"/>
          <c:h val="0.59133333333333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2.0639834881320948E-3"/>
                  <c:y val="-4.519774011299435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919504643962089E-3"/>
                  <c:y val="-3.389830508474576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-7.5678520320118843E-17"/>
                  <c:y val="-2.6365348399246705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0"/>
                  <c:y val="-2.2598870056497175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4015</c:v>
                </c:pt>
                <c:pt idx="1">
                  <c:v>245</c:v>
                </c:pt>
                <c:pt idx="2">
                  <c:v>13</c:v>
                </c:pt>
                <c:pt idx="3">
                  <c:v>209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"/>
                  <c:y val="-4.1431261770244858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919504643962852E-3"/>
                  <c:y val="-3.389830508474576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6.1919504643962852E-3"/>
                  <c:y val="-2.2598870056497314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0"/>
                  <c:y val="-3.0131826741996232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3887</c:v>
                </c:pt>
                <c:pt idx="1">
                  <c:v>235</c:v>
                </c:pt>
                <c:pt idx="2">
                  <c:v>5</c:v>
                </c:pt>
                <c:pt idx="3">
                  <c:v>250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shape val="cylinder"/>
        <c:axId val="95817728"/>
        <c:axId val="66526528"/>
        <c:axId val="0"/>
      </c:bar3DChart>
      <c:catAx>
        <c:axId val="95817728"/>
        <c:scaling>
          <c:orientation val="minMax"/>
        </c:scaling>
        <c:delete val="0"/>
        <c:axPos val="b"/>
        <c:numFmt formatCode="[$-419]dd/mm/yyyy" sourceLinked="1"/>
        <c:majorTickMark val="none"/>
        <c:minorTickMark val="none"/>
        <c:tickLblPos val="nextTo"/>
        <c:spPr>
          <a:ln w="9360">
            <a:solidFill>
              <a:srgbClr val="595959"/>
            </a:solidFill>
            <a:round/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66526528"/>
        <c:crosses val="autoZero"/>
        <c:auto val="1"/>
        <c:lblAlgn val="ctr"/>
        <c:lblOffset val="100"/>
        <c:noMultiLvlLbl val="0"/>
      </c:catAx>
      <c:valAx>
        <c:axId val="66526528"/>
        <c:scaling>
          <c:logBase val="10"/>
          <c:orientation val="minMax"/>
        </c:scaling>
        <c:delete val="1"/>
        <c:axPos val="l"/>
        <c:numFmt formatCode="0" sourceLinked="0"/>
        <c:majorTickMark val="out"/>
        <c:minorTickMark val="none"/>
        <c:tickLblPos val="nextTo"/>
        <c:crossAx val="958177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656250000000002"/>
          <c:y val="7.1999999999999995E-2"/>
          <c:w val="0.20307519219951201"/>
          <c:h val="7.9008778753194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400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userShapes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260"/>
      <c:rAngAx val="0"/>
      <c:perspective val="3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0.27881250000000002"/>
          <c:y val="0.14388888888888901"/>
          <c:w val="0.71943749999999995"/>
          <c:h val="0.67877777777777804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18"/>
          <c:dPt>
            <c:idx val="0"/>
            <c:bubble3D val="0"/>
            <c:spPr>
              <a:solidFill>
                <a:srgbClr val="95373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bubble3D val="0"/>
            <c:spPr>
              <a:solidFill>
                <a:srgbClr val="31859C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bubble3D val="0"/>
            <c:spPr>
              <a:solidFill>
                <a:srgbClr val="8064A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bubble3D val="0"/>
            <c:spPr>
              <a:gradFill>
                <a:gsLst>
                  <a:gs pos="0">
                    <a:srgbClr val="FCD5B5"/>
                  </a:gs>
                  <a:gs pos="100000">
                    <a:srgbClr val="33CC33"/>
                  </a:gs>
                </a:gsLst>
                <a:lin ang="0"/>
              </a:gra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bubble3D val="0"/>
            <c:spPr>
              <a:solidFill>
                <a:srgbClr val="00B0F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bubble3D val="0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bubble3D val="0"/>
            <c:explosion val="5"/>
            <c:spPr>
              <a:solidFill>
                <a:srgbClr val="0070C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bubble3D val="0"/>
            <c:explosion val="8"/>
            <c:spPr>
              <a:solidFill>
                <a:srgbClr val="00B05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dLbl>
              <c:idx val="0"/>
              <c:layout>
                <c:manualLayout>
                  <c:x val="3.8393830802109487E-2"/>
                  <c:y val="0.19159200400211071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1"/>
              <c:layout>
                <c:manualLayout>
                  <c:x val="2.465436402493032E-2"/>
                  <c:y val="-0.1048303557355591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2"/>
              <c:layout>
                <c:manualLayout>
                  <c:x val="1.4350698422759075E-2"/>
                  <c:y val="0.149392487818918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3"/>
              <c:layout>
                <c:manualLayout>
                  <c:x val="-0.11620413934326321"/>
                  <c:y val="0.1723582985547172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4"/>
              <c:layout>
                <c:manualLayout>
                  <c:x val="-0.1096618805002316"/>
                  <c:y val="-0.12326747668290811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5"/>
              <c:layout>
                <c:manualLayout>
                  <c:x val="0.15590632440294808"/>
                  <c:y val="-0.20734880724765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6"/>
              <c:layout>
                <c:manualLayout>
                  <c:x val="-1.3730690784394985E-2"/>
                  <c:y val="-9.1603105747551788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7"/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numFmt formatCode="General" sourceLinked="0"/>
            <c:txPr>
              <a:bodyPr/>
              <a:lstStyle/>
              <a:p>
                <a:pPr>
                  <a:defRPr sz="11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1"/>
            <c:separator>
</c:separator>
            <c:showLeaderLines val="0"/>
          </c:dLbls>
          <c:cat>
            <c:strRef>
              <c:f>categories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9"/>
                <c:pt idx="0">
                  <c:v>106</c:v>
                </c:pt>
                <c:pt idx="1">
                  <c:v>23</c:v>
                </c:pt>
                <c:pt idx="2">
                  <c:v>46</c:v>
                </c:pt>
                <c:pt idx="3">
                  <c:v>13</c:v>
                </c:pt>
                <c:pt idx="4">
                  <c:v>7</c:v>
                </c:pt>
                <c:pt idx="5">
                  <c:v>45</c:v>
                </c:pt>
                <c:pt idx="6">
                  <c:v>2752</c:v>
                </c:pt>
                <c:pt idx="7">
                  <c:v>173</c:v>
                </c:pt>
                <c:pt idx="8">
                  <c:v>722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1"/>
  </c:chart>
  <c:spPr>
    <a:solidFill>
      <a:srgbClr val="FFFFFF"/>
    </a:solidFill>
    <a:ln w="9360"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0"/>
      <c:rotY val="0"/>
      <c:rAngAx val="1"/>
    </c:view3D>
    <c:floor>
      <c:thickness val="0"/>
      <c:spPr>
        <a:noFill/>
        <a:ln w="9360">
          <a:noFill/>
        </a:ln>
      </c:spPr>
    </c:floor>
    <c:sideWall>
      <c:thickness val="0"/>
      <c:spPr>
        <a:noFill/>
        <a:ln w="25560">
          <a:noFill/>
        </a:ln>
      </c:spPr>
    </c:sideWall>
    <c:backWall>
      <c:thickness val="0"/>
      <c:spPr>
        <a:noFill/>
        <a:ln w="25560">
          <a:noFill/>
        </a:ln>
      </c:spPr>
    </c:backWall>
    <c:plotArea>
      <c:layout>
        <c:manualLayout>
          <c:layoutTarget val="inner"/>
          <c:xMode val="edge"/>
          <c:yMode val="edge"/>
          <c:x val="2.6312499999999999E-2"/>
          <c:y val="0.239111111111111"/>
          <c:w val="0.95543750000000005"/>
          <c:h val="0.59133333333333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2.0639834881320761E-3"/>
                  <c:y val="-3.498542274052478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-3.7839260160059421E-17"/>
                  <c:y val="-3.8872691933916424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0"/>
                  <c:y val="-1.9436345966958139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0"/>
                  <c:y val="-3.498542274052478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2826</c:v>
                </c:pt>
                <c:pt idx="1">
                  <c:v>232</c:v>
                </c:pt>
                <c:pt idx="2">
                  <c:v>12</c:v>
                </c:pt>
                <c:pt idx="3">
                  <c:v>192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"/>
                  <c:y val="-3.4985422740524783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4.1279669762641896E-3"/>
                  <c:y val="-3.4985422740524852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0"/>
                  <c:y val="-3.1098153547133068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0"/>
                  <c:y val="-1.9436345966958212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2752</c:v>
                </c:pt>
                <c:pt idx="1">
                  <c:v>214</c:v>
                </c:pt>
                <c:pt idx="2">
                  <c:v>5</c:v>
                </c:pt>
                <c:pt idx="3">
                  <c:v>235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shape val="cylinder"/>
        <c:axId val="95819264"/>
        <c:axId val="83283328"/>
        <c:axId val="0"/>
      </c:bar3DChart>
      <c:catAx>
        <c:axId val="95819264"/>
        <c:scaling>
          <c:orientation val="minMax"/>
        </c:scaling>
        <c:delete val="0"/>
        <c:axPos val="b"/>
        <c:numFmt formatCode="[$-419]dd/mm/yyyy" sourceLinked="1"/>
        <c:majorTickMark val="none"/>
        <c:minorTickMark val="none"/>
        <c:tickLblPos val="nextTo"/>
        <c:spPr>
          <a:ln w="9360">
            <a:solidFill>
              <a:srgbClr val="595959"/>
            </a:solidFill>
            <a:round/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83283328"/>
        <c:crosses val="autoZero"/>
        <c:auto val="1"/>
        <c:lblAlgn val="ctr"/>
        <c:lblOffset val="100"/>
        <c:noMultiLvlLbl val="0"/>
      </c:catAx>
      <c:valAx>
        <c:axId val="83283328"/>
        <c:scaling>
          <c:logBase val="10"/>
          <c:orientation val="minMax"/>
        </c:scaling>
        <c:delete val="1"/>
        <c:axPos val="l"/>
        <c:numFmt formatCode="0" sourceLinked="0"/>
        <c:majorTickMark val="out"/>
        <c:minorTickMark val="none"/>
        <c:tickLblPos val="nextTo"/>
        <c:crossAx val="958192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1775000000000002"/>
          <c:y val="7.1999999999999995E-2"/>
          <c:w val="0.20307519219951201"/>
          <c:h val="7.9008778753194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400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userShapes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8.3375000000000005E-2"/>
          <c:y val="0.10866666666666699"/>
          <c:w val="0.90362500000000001"/>
          <c:h val="0.67122222222222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>
              <a:gsLst>
                <a:gs pos="0">
                  <a:srgbClr val="0000FF"/>
                </a:gs>
                <a:gs pos="50000">
                  <a:srgbClr val="B9CDE5"/>
                </a:gs>
                <a:gs pos="100000">
                  <a:srgbClr val="0000FF"/>
                </a:gs>
              </a:gsLst>
              <a:lin ang="0"/>
            </a:gradFill>
            <a:ln w="12600">
              <a:solidFill>
                <a:srgbClr val="000000"/>
              </a:solidFill>
              <a:round/>
            </a:ln>
          </c:spPr>
          <c:invertIfNegative val="0"/>
          <c:dLbls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r>
                      <a:rPr lang="ru-RU"/>
                      <a:t>20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1129</c:v>
                </c:pt>
                <c:pt idx="1">
                  <c:v>1158</c:v>
                </c:pt>
                <c:pt idx="2">
                  <c:v>1176</c:v>
                </c:pt>
                <c:pt idx="3">
                  <c:v>1171</c:v>
                </c:pt>
                <c:pt idx="4">
                  <c:v>1103</c:v>
                </c:pt>
                <c:pt idx="5">
                  <c:v>1419</c:v>
                </c:pt>
                <c:pt idx="6">
                  <c:v>1326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82039296"/>
        <c:axId val="63021632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160">
              <a:solidFill>
                <a:srgbClr val="FF0000"/>
              </a:solidFill>
              <a:round/>
            </a:ln>
          </c:spPr>
          <c:marker>
            <c:symbol val="diamond"/>
            <c:size val="4"/>
            <c:spPr>
              <a:solidFill>
                <a:srgbClr val="FF0000"/>
              </a:solidFill>
            </c:spPr>
          </c:marker>
          <c:dLbls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28</c:v>
                </c:pt>
                <c:pt idx="1">
                  <c:v>23</c:v>
                </c:pt>
                <c:pt idx="2">
                  <c:v>33</c:v>
                </c:pt>
                <c:pt idx="3">
                  <c:v>34</c:v>
                </c:pt>
                <c:pt idx="4">
                  <c:v>39</c:v>
                </c:pt>
                <c:pt idx="5">
                  <c:v>46</c:v>
                </c:pt>
                <c:pt idx="6">
                  <c:v>37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160">
              <a:solidFill>
                <a:srgbClr val="00B050"/>
              </a:solidFill>
              <a:round/>
            </a:ln>
          </c:spPr>
          <c:marker>
            <c:symbol val="diamond"/>
            <c:size val="8"/>
            <c:spPr>
              <a:solidFill>
                <a:srgbClr val="00B050"/>
              </a:solidFill>
            </c:spPr>
          </c:marker>
          <c:dLbls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9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  <c:pt idx="4">
                  <c:v>10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>
              <a:noFill/>
            </a:ln>
          </c:spPr>
        </c:hiLowLines>
        <c:marker val="1"/>
        <c:smooth val="0"/>
        <c:axId val="82039296"/>
        <c:axId val="63021632"/>
      </c:lineChart>
      <c:catAx>
        <c:axId val="82039296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3240">
            <a:solidFill>
              <a:srgbClr val="000000"/>
            </a:solidFill>
            <a:round/>
          </a:ln>
        </c:spPr>
        <c:txPr>
          <a:bodyPr/>
          <a:lstStyle/>
          <a:p>
            <a:pPr>
              <a:defRPr sz="1400" b="1" strike="noStrike" spc="-1">
                <a:solidFill>
                  <a:srgbClr val="000000"/>
                </a:solidFill>
                <a:latin typeface="Times New Roman"/>
                <a:ea typeface="Arial"/>
              </a:defRPr>
            </a:pPr>
            <a:endParaRPr lang="ru-RU"/>
          </a:p>
        </c:txPr>
        <c:crossAx val="63021632"/>
        <c:crosses val="autoZero"/>
        <c:auto val="1"/>
        <c:lblAlgn val="ctr"/>
        <c:lblOffset val="100"/>
        <c:noMultiLvlLbl val="0"/>
      </c:catAx>
      <c:valAx>
        <c:axId val="63021632"/>
        <c:scaling>
          <c:logBase val="10"/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82039296"/>
        <c:crosses val="autoZero"/>
        <c:crossBetween val="between"/>
      </c:valAx>
      <c:spPr>
        <a:noFill/>
        <a:ln w="25560">
          <a:noFill/>
        </a:ln>
      </c:spPr>
    </c:plotArea>
    <c:legend>
      <c:legendPos val="b"/>
      <c:layout>
        <c:manualLayout>
          <c:xMode val="edge"/>
          <c:yMode val="edge"/>
          <c:x val="0.16062499999999999"/>
          <c:y val="0.91366666666666696"/>
          <c:w val="0.742608913057066"/>
          <c:h val="7.6675186131792403E-2"/>
        </c:manualLayout>
      </c:layout>
      <c:overlay val="0"/>
      <c:spPr>
        <a:solidFill>
          <a:srgbClr val="FFFFFF"/>
        </a:solidFill>
        <a:ln w="3240">
          <a:solidFill>
            <a:srgbClr val="000000"/>
          </a:solidFill>
          <a:round/>
        </a:ln>
      </c:spPr>
      <c:txPr>
        <a:bodyPr/>
        <a:lstStyle/>
        <a:p>
          <a:pPr>
            <a:defRPr sz="920" b="1" strike="noStrike" spc="-1">
              <a:solidFill>
                <a:srgbClr val="000000"/>
              </a:solidFill>
              <a:latin typeface="Times New Roman"/>
              <a:ea typeface="Arial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3240"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8.7374999999999994E-2"/>
          <c:y val="0.17344444444444401"/>
          <c:w val="0.90162500000000001"/>
          <c:h val="0.609222222222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/>
            </a:gradFill>
            <a:ln w="12600">
              <a:solidFill>
                <a:srgbClr val="000000"/>
              </a:solidFill>
              <a:round/>
            </a:ln>
          </c:spPr>
          <c:invertIfNegative val="0"/>
          <c:dPt>
            <c:idx val="12"/>
            <c:invertIfNegative val="0"/>
            <c:bubble3D val="0"/>
            <c:spPr>
              <a:gradFill>
                <a:gsLst>
                  <a:gs pos="0">
                    <a:srgbClr val="00B050"/>
                  </a:gs>
                  <a:gs pos="50000">
                    <a:srgbClr val="92D050"/>
                  </a:gs>
                  <a:gs pos="100000">
                    <a:srgbClr val="00B050"/>
                  </a:gs>
                </a:gsLst>
                <a:lin ang="0"/>
              </a:gradFill>
              <a:ln w="12600">
                <a:solidFill>
                  <a:srgbClr val="000000"/>
                </a:solidFill>
                <a:round/>
              </a:ln>
            </c:spPr>
          </c:dPt>
          <c:dLbls>
            <c:dLbl>
              <c:idx val="12"/>
              <c:numFmt formatCode="General" sourceLinked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3"/>
                <c:pt idx="0">
                  <c:v>27</c:v>
                </c:pt>
                <c:pt idx="1">
                  <c:v>30</c:v>
                </c:pt>
                <c:pt idx="2">
                  <c:v>24</c:v>
                </c:pt>
                <c:pt idx="3">
                  <c:v>23</c:v>
                </c:pt>
                <c:pt idx="4">
                  <c:v>17</c:v>
                </c:pt>
                <c:pt idx="5">
                  <c:v>11</c:v>
                </c:pt>
                <c:pt idx="6">
                  <c:v>12</c:v>
                </c:pt>
                <c:pt idx="7">
                  <c:v>16</c:v>
                </c:pt>
                <c:pt idx="8">
                  <c:v>21</c:v>
                </c:pt>
                <c:pt idx="9">
                  <c:v>18</c:v>
                </c:pt>
                <c:pt idx="10">
                  <c:v>15</c:v>
                </c:pt>
                <c:pt idx="11">
                  <c:v>23</c:v>
                </c:pt>
                <c:pt idx="1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82040320"/>
        <c:axId val="63024512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160">
              <a:solidFill>
                <a:srgbClr val="215968"/>
              </a:solidFill>
              <a:round/>
            </a:ln>
          </c:spPr>
          <c:marker>
            <c:symbol val="diamond"/>
            <c:size val="4"/>
            <c:spPr>
              <a:solidFill>
                <a:srgbClr val="215968"/>
              </a:solidFill>
            </c:spPr>
          </c:marker>
          <c:dPt>
            <c:idx val="12"/>
            <c:bubble3D val="0"/>
          </c:dPt>
          <c:dLbls>
            <c:dLbl>
              <c:idx val="12"/>
              <c:numFmt formatCode="General" sourceLinked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</c:dLbl>
            <c:numFmt formatCode="General" sourceLinked="0"/>
            <c:txPr>
              <a:bodyPr/>
              <a:lstStyle/>
              <a:p>
                <a:pPr>
                  <a:defRPr sz="1000" b="1" strike="noStrike" spc="-1">
                    <a:solidFill>
                      <a:srgbClr val="0000FF"/>
                    </a:solidFill>
                    <a:latin typeface="Arial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3"/>
                <c:pt idx="0">
                  <c:v>7</c:v>
                </c:pt>
                <c:pt idx="1">
                  <c:v>10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6</c:v>
                </c:pt>
                <c:pt idx="9">
                  <c:v>5</c:v>
                </c:pt>
                <c:pt idx="10">
                  <c:v>4</c:v>
                </c:pt>
                <c:pt idx="11">
                  <c:v>3</c:v>
                </c:pt>
                <c:pt idx="12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>
              <a:noFill/>
            </a:ln>
          </c:spPr>
        </c:hiLowLines>
        <c:marker val="1"/>
        <c:smooth val="0"/>
        <c:axId val="82040320"/>
        <c:axId val="63024512"/>
      </c:lineChart>
      <c:catAx>
        <c:axId val="82040320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3240">
            <a:solidFill>
              <a:srgbClr val="000000"/>
            </a:solidFill>
            <a:round/>
          </a:ln>
        </c:spPr>
        <c:txPr>
          <a:bodyPr/>
          <a:lstStyle/>
          <a:p>
            <a:pPr>
              <a:defRPr sz="1200" b="1" strike="noStrike" spc="-1">
                <a:solidFill>
                  <a:srgbClr val="000000"/>
                </a:solidFill>
                <a:latin typeface="Times New Roman"/>
                <a:ea typeface="Arial"/>
              </a:defRPr>
            </a:pPr>
            <a:endParaRPr lang="ru-RU"/>
          </a:p>
        </c:txPr>
        <c:crossAx val="63024512"/>
        <c:crosses val="autoZero"/>
        <c:auto val="1"/>
        <c:lblAlgn val="ctr"/>
        <c:lblOffset val="100"/>
        <c:noMultiLvlLbl val="0"/>
      </c:catAx>
      <c:valAx>
        <c:axId val="63024512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82040320"/>
        <c:crosses val="autoZero"/>
        <c:crossBetween val="between"/>
      </c:valAx>
      <c:spPr>
        <a:noFill/>
        <a:ln w="25560">
          <a:noFill/>
        </a:ln>
      </c:spPr>
    </c:plotArea>
    <c:legend>
      <c:legendPos val="b"/>
      <c:layout>
        <c:manualLayout>
          <c:xMode val="edge"/>
          <c:yMode val="edge"/>
          <c:x val="0.16062499999999999"/>
          <c:y val="0.91366666666666696"/>
          <c:w val="0.742608913057066"/>
          <c:h val="7.6675186131792403E-2"/>
        </c:manualLayout>
      </c:layout>
      <c:overlay val="0"/>
      <c:spPr>
        <a:solidFill>
          <a:srgbClr val="FFFFFF"/>
        </a:solidFill>
        <a:ln w="3240">
          <a:solidFill>
            <a:srgbClr val="000000"/>
          </a:solidFill>
          <a:round/>
        </a:ln>
      </c:spPr>
      <c:txPr>
        <a:bodyPr/>
        <a:lstStyle/>
        <a:p>
          <a:pPr>
            <a:defRPr sz="920" b="1" strike="noStrike" spc="-1">
              <a:solidFill>
                <a:srgbClr val="000000"/>
              </a:solidFill>
              <a:latin typeface="Times New Roman"/>
              <a:ea typeface="Arial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3240"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2471875"/>
          <c:y val="4.7777777777777801E-2"/>
          <c:w val="0.66843750000000002"/>
          <c:h val="0.902000000000000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595959"/>
              </a:solidFill>
            </a:ln>
          </c:spPr>
          <c:invertIfNegative val="0"/>
          <c:dLbls>
            <c:numFmt formatCode="0" sourceLinked="0"/>
            <c:txPr>
              <a:bodyPr/>
              <a:lstStyle/>
              <a:p>
                <a:pPr>
                  <a:defRPr sz="9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9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7</c:v>
                </c:pt>
                <c:pt idx="5">
                  <c:v>22</c:v>
                </c:pt>
                <c:pt idx="6">
                  <c:v>9</c:v>
                </c:pt>
                <c:pt idx="7">
                  <c:v>32</c:v>
                </c:pt>
                <c:pt idx="8">
                  <c:v>176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595959"/>
              </a:solidFill>
            </a:ln>
          </c:spPr>
          <c:invertIfNegative val="0"/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solidFill>
                  <a:srgbClr val="595959"/>
                </a:solidFill>
              </a:ln>
            </c:spPr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solidFill>
                  <a:srgbClr val="595959"/>
                </a:solidFill>
              </a:ln>
            </c:spPr>
          </c:dPt>
          <c:dLbls>
            <c:dLbl>
              <c:idx val="7"/>
              <c:numFmt formatCode="0" sourceLinked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</c:dLbl>
            <c:dLbl>
              <c:idx val="8"/>
              <c:numFmt formatCode="0" sourceLinked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</c:dLbl>
            <c:numFmt formatCode="0" sourceLinked="0"/>
            <c:txPr>
              <a:bodyPr/>
              <a:lstStyle/>
              <a:p>
                <a:pPr>
                  <a:defRPr sz="9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9"/>
                <c:pt idx="0">
                  <c:v>3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  <c:pt idx="4">
                  <c:v>5</c:v>
                </c:pt>
                <c:pt idx="5">
                  <c:v>35</c:v>
                </c:pt>
                <c:pt idx="6">
                  <c:v>6</c:v>
                </c:pt>
                <c:pt idx="7">
                  <c:v>23</c:v>
                </c:pt>
                <c:pt idx="8">
                  <c:v>165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728384"/>
        <c:axId val="63026816"/>
      </c:barChart>
      <c:catAx>
        <c:axId val="83728384"/>
        <c:scaling>
          <c:orientation val="minMax"/>
        </c:scaling>
        <c:delete val="0"/>
        <c:axPos val="l"/>
        <c:numFmt formatCode="[$-419]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1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63026816"/>
        <c:crosses val="autoZero"/>
        <c:auto val="1"/>
        <c:lblAlgn val="ctr"/>
        <c:lblOffset val="100"/>
        <c:noMultiLvlLbl val="0"/>
      </c:catAx>
      <c:valAx>
        <c:axId val="63026816"/>
        <c:scaling>
          <c:orientation val="minMax"/>
        </c:scaling>
        <c:delete val="0"/>
        <c:axPos val="b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83728384"/>
        <c:crosses val="autoZero"/>
        <c:crossBetween val="between"/>
      </c:valAx>
      <c:spPr>
        <a:noFill/>
        <a:ln>
          <a:noFill/>
        </a:ln>
      </c:spPr>
    </c:plotArea>
    <c:legend>
      <c:legendPos val="r"/>
      <c:layout/>
      <c:overlay val="0"/>
      <c:spPr>
        <a:noFill/>
        <a:ln>
          <a:noFill/>
        </a:ln>
      </c:spPr>
      <c:txPr>
        <a:bodyPr/>
        <a:lstStyle/>
        <a:p>
          <a:pPr>
            <a:defRPr sz="1100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5"/>
      <c:rAngAx val="0"/>
      <c:perspective val="3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7.4562500000000004E-2"/>
          <c:y val="0.14744444444444399"/>
          <c:w val="0.78674999999999995"/>
          <c:h val="0.74222222222222201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</c:spPr>
          <c:explosion val="18"/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1"/>
            <c:bubble3D val="0"/>
            <c:explosion val="4"/>
            <c:spPr>
              <a:solidFill>
                <a:srgbClr val="E46C0A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953735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2.0188979628655925E-2"/>
                  <c:y val="-0.21130308603217507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0070C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1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00B05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2"/>
              <c:layout>
                <c:manualLayout>
                  <c:x val="1.0908152734778121E-2"/>
                  <c:y val="0.44959370078740157"/>
                </c:manualLayout>
              </c:layout>
              <c:tx>
                <c:rich>
                  <a:bodyPr/>
                  <a:lstStyle/>
                  <a:p>
                    <a:pPr>
                      <a:defRPr sz="1100" b="1" strike="noStrike" spc="-1">
                        <a:solidFill>
                          <a:srgbClr val="FF0000"/>
                        </a:solidFill>
                        <a:latin typeface="Times New Roman"/>
                      </a:defRPr>
                    </a:pPr>
                    <a:r>
                      <a:rPr lang="ru-RU"/>
                      <a:t>на открытых территориях
4139
49%</a:t>
                    </a:r>
                  </a:p>
                </c:rich>
              </c:tx>
              <c:numFmt formatCode="General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3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7030A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numFmt formatCode="General" sourceLinked="0"/>
            <c:txPr>
              <a:bodyPr/>
              <a:lstStyle/>
              <a:p>
                <a:pPr>
                  <a:defRPr sz="11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1"/>
            <c:separator>
</c:separator>
            <c:showLeaderLines val="0"/>
          </c:dLbls>
          <c:cat>
            <c:strRef>
              <c:f>categories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3887</c:v>
                </c:pt>
                <c:pt idx="1">
                  <c:v>452</c:v>
                </c:pt>
                <c:pt idx="2">
                  <c:v>4138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1"/>
  </c:chart>
  <c:spPr>
    <a:solidFill>
      <a:srgbClr val="FFFFFF"/>
    </a:solidFill>
    <a:ln w="9360"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5"/>
      <c:rAngAx val="0"/>
      <c:perspective val="3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0.17306250000000001"/>
          <c:y val="0.19422222222222199"/>
          <c:w val="0.69918749999999996"/>
          <c:h val="0.66277777777777802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46C0A"/>
            </a:solidFill>
            <a:ln>
              <a:noFill/>
            </a:ln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bubble3D val="0"/>
            <c:explosion val="4"/>
            <c:spPr>
              <a:solidFill>
                <a:srgbClr val="0070C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bubble3D val="0"/>
            <c:spPr>
              <a:solidFill>
                <a:srgbClr val="95373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bubble3D val="0"/>
            <c:spPr>
              <a:solidFill>
                <a:srgbClr val="FFCCFF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bubble3D val="0"/>
            <c:spPr>
              <a:solidFill>
                <a:srgbClr val="7030A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bubble3D val="0"/>
            <c:spPr>
              <a:solidFill>
                <a:srgbClr val="FFFF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bubble3D val="0"/>
            <c:spPr>
              <a:solidFill>
                <a:srgbClr val="E46C0A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dLbl>
              <c:idx val="0"/>
              <c:layout>
                <c:manualLayout>
                  <c:x val="-5.9685283147656081E-2"/>
                  <c:y val="-0.42701894051323053"/>
                </c:manualLayout>
              </c:layout>
              <c:tx>
                <c:rich>
                  <a:bodyPr/>
                  <a:lstStyle/>
                  <a:p>
                    <a:pPr>
                      <a:defRPr sz="1100" b="1" strike="noStrike" spc="-1">
                        <a:solidFill>
                          <a:srgbClr val="31859C"/>
                        </a:solidFill>
                        <a:latin typeface="Times New Roman"/>
                      </a:defRPr>
                    </a:pPr>
                    <a:r>
                      <a:rPr lang="ru-RU"/>
                      <a:t>Неосторожное обращение с огнем
4733
56%</a:t>
                    </a:r>
                  </a:p>
                </c:rich>
              </c:tx>
              <c:numFmt formatCode="General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1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FF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2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00B0F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3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00B05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4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953735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5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0070C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6"/>
              <c:numFmt formatCode="General" sourceLinked="0"/>
              <c:spPr/>
              <c:txPr>
                <a:bodyPr/>
                <a:lstStyle/>
                <a:p>
                  <a:pPr>
                    <a:defRPr sz="1100" b="1" strike="noStrike" spc="-1">
                      <a:solidFill>
                        <a:srgbClr val="E46C0A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numFmt formatCode="General" sourceLinked="0"/>
            <c:txPr>
              <a:bodyPr/>
              <a:lstStyle/>
              <a:p>
                <a:pPr>
                  <a:defRPr sz="11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1"/>
            <c:separator>
</c:separator>
            <c:showLeaderLines val="0"/>
          </c:dLbls>
          <c:cat>
            <c:strRef>
              <c:f>categories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4732</c:v>
                </c:pt>
                <c:pt idx="1">
                  <c:v>1496</c:v>
                </c:pt>
                <c:pt idx="2">
                  <c:v>570</c:v>
                </c:pt>
                <c:pt idx="3">
                  <c:v>303</c:v>
                </c:pt>
                <c:pt idx="4">
                  <c:v>583</c:v>
                </c:pt>
                <c:pt idx="5">
                  <c:v>488</c:v>
                </c:pt>
                <c:pt idx="6">
                  <c:v>310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1"/>
  </c:chart>
  <c:spPr>
    <a:solidFill>
      <a:srgbClr val="FFFFFF"/>
    </a:solidFill>
    <a:ln w="9360"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0"/>
      <c:rotY val="0"/>
      <c:rAngAx val="1"/>
    </c:view3D>
    <c:floor>
      <c:thickness val="0"/>
      <c:spPr>
        <a:noFill/>
        <a:ln w="9360">
          <a:noFill/>
        </a:ln>
      </c:spPr>
    </c:floor>
    <c:sideWall>
      <c:thickness val="0"/>
      <c:spPr>
        <a:noFill/>
        <a:ln w="25560">
          <a:noFill/>
        </a:ln>
      </c:spPr>
    </c:sideWall>
    <c:backWall>
      <c:thickness val="0"/>
      <c:spPr>
        <a:noFill/>
        <a:ln w="25560">
          <a:noFill/>
        </a:ln>
      </c:spPr>
    </c:backWall>
    <c:plotArea>
      <c:layout>
        <c:manualLayout>
          <c:layoutTarget val="inner"/>
          <c:xMode val="edge"/>
          <c:yMode val="edge"/>
          <c:x val="1.0625000000000001E-3"/>
          <c:y val="0.30566666666666698"/>
          <c:w val="0.95543750000000005"/>
          <c:h val="0.59133333333333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2.0639834881320948E-3"/>
                  <c:y val="-5.8139534883720964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4.1279669762642277E-3"/>
                  <c:y val="-7.3643410852713184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0"/>
                  <c:y val="-3.8759689922480689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2.0639834881320948E-3"/>
                  <c:y val="-3.4883720930232558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5741</c:v>
                </c:pt>
                <c:pt idx="1">
                  <c:v>153</c:v>
                </c:pt>
                <c:pt idx="2">
                  <c:v>7</c:v>
                </c:pt>
                <c:pt idx="3">
                  <c:v>184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"/>
                  <c:y val="-4.6511627906976744E-2"/>
                </c:manualLayout>
              </c:layout>
              <c:tx>
                <c:rich>
                  <a:bodyPr/>
                  <a:lstStyle/>
                  <a:p>
                    <a:pPr>
                      <a:defRPr sz="1000" b="1" strike="noStrike" spc="-1">
                        <a:solidFill>
                          <a:srgbClr val="000000"/>
                        </a:solidFill>
                        <a:latin typeface="Calibri"/>
                      </a:defRPr>
                    </a:pPr>
                    <a:r>
                      <a:rPr lang="en-US" b="1"/>
                      <a:t>586</a:t>
                    </a:r>
                    <a:r>
                      <a:rPr lang="ru-RU" b="1"/>
                      <a:t>7</a:t>
                    </a:r>
                    <a:endParaRPr lang="en-US"/>
                  </a:p>
                </c:rich>
              </c:tx>
              <c:numFmt formatCode="General" sourceLinked="0"/>
              <c:spPr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4.1279669762641896E-3"/>
                  <c:y val="-5.0387596899224875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7.5678520320118843E-17"/>
                  <c:y val="-1.937984496124031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0"/>
                  <c:y val="-3.1007751937984496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5866</c:v>
                </c:pt>
                <c:pt idx="1">
                  <c:v>161</c:v>
                </c:pt>
                <c:pt idx="2">
                  <c:v>4</c:v>
                </c:pt>
                <c:pt idx="3">
                  <c:v>205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shape val="cylinder"/>
        <c:axId val="42310656"/>
        <c:axId val="63235776"/>
        <c:axId val="0"/>
      </c:bar3DChart>
      <c:catAx>
        <c:axId val="42310656"/>
        <c:scaling>
          <c:orientation val="minMax"/>
        </c:scaling>
        <c:delete val="0"/>
        <c:axPos val="b"/>
        <c:numFmt formatCode="[$-419]dd/mm/yyyy" sourceLinked="1"/>
        <c:majorTickMark val="none"/>
        <c:minorTickMark val="none"/>
        <c:tickLblPos val="nextTo"/>
        <c:spPr>
          <a:ln w="9360">
            <a:solidFill>
              <a:srgbClr val="595959"/>
            </a:solidFill>
            <a:round/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63235776"/>
        <c:crosses val="autoZero"/>
        <c:auto val="1"/>
        <c:lblAlgn val="ctr"/>
        <c:lblOffset val="100"/>
        <c:noMultiLvlLbl val="0"/>
      </c:catAx>
      <c:valAx>
        <c:axId val="63235776"/>
        <c:scaling>
          <c:logBase val="10"/>
          <c:orientation val="minMax"/>
        </c:scaling>
        <c:delete val="1"/>
        <c:axPos val="l"/>
        <c:numFmt formatCode="0" sourceLinked="0"/>
        <c:majorTickMark val="out"/>
        <c:minorTickMark val="none"/>
        <c:tickLblPos val="nextTo"/>
        <c:crossAx val="42310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1775000000000002"/>
          <c:y val="7.1999999999999995E-2"/>
          <c:w val="0.20307519219951201"/>
          <c:h val="7.9008778753194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400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userShapes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5"/>
      <c:rAngAx val="0"/>
      <c:perspective val="30"/>
    </c:view3D>
    <c:floor>
      <c:thickness val="0"/>
      <c:spPr>
        <a:solidFill>
          <a:srgbClr val="D9D9D9"/>
        </a:solidFill>
        <a:ln>
          <a:noFill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5.5750000000000001E-2"/>
          <c:y val="0.14211111111111099"/>
          <c:w val="0.75068749999999995"/>
          <c:h val="0.70755555555555605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bubble3D val="0"/>
            <c:explosion val="4"/>
            <c:spPr>
              <a:solidFill>
                <a:srgbClr val="FFCCFF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bubble3D val="0"/>
            <c:spPr>
              <a:solidFill>
                <a:srgbClr val="95373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bubble3D val="0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dLbl>
              <c:idx val="0"/>
              <c:layout>
                <c:manualLayout>
                  <c:x val="-2.7673817768084155E-2"/>
                  <c:y val="-0.1024351520092686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1"/>
              <c:layout>
                <c:manualLayout>
                  <c:x val="7.3064622790695768E-2"/>
                  <c:y val="-0.17630500547104636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2"/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</c:dLbl>
            <c:dLbl>
              <c:idx val="4"/>
              <c:layout>
                <c:manualLayout>
                  <c:x val="-0.1234887188397225"/>
                  <c:y val="0.12077038054166934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5"/>
              <c:layout>
                <c:manualLayout>
                  <c:x val="4.1158059467918617E-2"/>
                  <c:y val="0.1302283536083875"/>
                </c:manualLayout>
              </c:layout>
              <c:tx>
                <c:rich>
                  <a:bodyPr/>
                  <a:lstStyle/>
                  <a:p>
                    <a:pPr>
                      <a:defRPr sz="1000" b="1" strike="noStrike" spc="-1">
                        <a:solidFill>
                          <a:srgbClr val="000000"/>
                        </a:solidFill>
                        <a:latin typeface="Times New Roman"/>
                      </a:defRPr>
                    </a:pPr>
                    <a:r>
                      <a:rPr lang="ru-RU" sz="1000"/>
                      <a:t>открытые территории
2803
48%</a:t>
                    </a:r>
                  </a:p>
                </c:rich>
              </c:tx>
              <c:numFmt formatCode="General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dLbl>
              <c:idx val="6"/>
              <c:layout>
                <c:manualLayout>
                  <c:x val="-3.3204687442238735E-2"/>
                  <c:y val="6.0068513234210847E-3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1"/>
              <c:separator>
</c:separator>
            </c:dLbl>
            <c:numFmt formatCode="General" sourceLinked="0"/>
            <c:txPr>
              <a:bodyPr/>
              <a:lstStyle/>
              <a:p>
                <a:pPr>
                  <a:defRPr sz="105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1"/>
            <c:separator>
</c:separator>
            <c:showLeaderLines val="0"/>
          </c:dLbls>
          <c:cat>
            <c:strRef>
              <c:f>categories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1810</c:v>
                </c:pt>
                <c:pt idx="1">
                  <c:v>104</c:v>
                </c:pt>
                <c:pt idx="2">
                  <c:v>73</c:v>
                </c:pt>
                <c:pt idx="3">
                  <c:v>15</c:v>
                </c:pt>
                <c:pt idx="4">
                  <c:v>350</c:v>
                </c:pt>
                <c:pt idx="5">
                  <c:v>2802</c:v>
                </c:pt>
                <c:pt idx="6">
                  <c:v>712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1"/>
  </c:chart>
  <c:spPr>
    <a:solidFill>
      <a:srgbClr val="FFFFFF"/>
    </a:solidFill>
    <a:ln w="9360"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0"/>
      <c:rotY val="0"/>
      <c:rAngAx val="1"/>
    </c:view3D>
    <c:floor>
      <c:thickness val="0"/>
      <c:spPr>
        <a:noFill/>
        <a:ln w="9360">
          <a:noFill/>
        </a:ln>
      </c:spPr>
    </c:floor>
    <c:sideWall>
      <c:thickness val="0"/>
      <c:spPr>
        <a:noFill/>
        <a:ln w="25560">
          <a:noFill/>
        </a:ln>
      </c:spPr>
    </c:sideWall>
    <c:backWall>
      <c:thickness val="0"/>
      <c:spPr>
        <a:noFill/>
        <a:ln w="25560">
          <a:noFill/>
        </a:ln>
      </c:spPr>
    </c:backWall>
    <c:plotArea>
      <c:layout>
        <c:manualLayout>
          <c:layoutTarget val="inner"/>
          <c:xMode val="edge"/>
          <c:yMode val="edge"/>
          <c:x val="2.6312499999999999E-2"/>
          <c:y val="0.239111111111111"/>
          <c:w val="0.95543750000000005"/>
          <c:h val="0.59133333333333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2.0639834881320948E-3"/>
                  <c:y val="-3.555555555555559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919504643962089E-3"/>
                  <c:y val="-4.2666666666666665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4.1279669762641141E-3"/>
                  <c:y val="-2.8444444444444446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2.0639834881319434E-3"/>
                  <c:y val="-2.1333333333333267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2622</c:v>
                </c:pt>
                <c:pt idx="1">
                  <c:v>97</c:v>
                </c:pt>
                <c:pt idx="2">
                  <c:v>6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4.1279669762641523E-3"/>
                  <c:y val="-3.5555555555555556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4.1279669762641896E-3"/>
                  <c:y val="-2.1333333333333399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-7.5678520320118843E-17"/>
                  <c:y val="-4.2666666666666797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2.0639834881320948E-3"/>
                  <c:y val="-3.2000000000000001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2616</c:v>
                </c:pt>
                <c:pt idx="1">
                  <c:v>79</c:v>
                </c:pt>
                <c:pt idx="2">
                  <c:v>1</c:v>
                </c:pt>
                <c:pt idx="3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shape val="cylinder"/>
        <c:axId val="95654912"/>
        <c:axId val="63238656"/>
        <c:axId val="0"/>
      </c:bar3DChart>
      <c:catAx>
        <c:axId val="95654912"/>
        <c:scaling>
          <c:orientation val="minMax"/>
        </c:scaling>
        <c:delete val="0"/>
        <c:axPos val="b"/>
        <c:numFmt formatCode="[$-419]dd/mm/yyyy" sourceLinked="1"/>
        <c:majorTickMark val="none"/>
        <c:minorTickMark val="none"/>
        <c:tickLblPos val="nextTo"/>
        <c:spPr>
          <a:ln w="9360">
            <a:solidFill>
              <a:srgbClr val="595959"/>
            </a:solidFill>
            <a:round/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63238656"/>
        <c:crosses val="autoZero"/>
        <c:auto val="1"/>
        <c:lblAlgn val="ctr"/>
        <c:lblOffset val="100"/>
        <c:noMultiLvlLbl val="0"/>
      </c:catAx>
      <c:valAx>
        <c:axId val="63238656"/>
        <c:scaling>
          <c:logBase val="10"/>
          <c:orientation val="minMax"/>
        </c:scaling>
        <c:delete val="1"/>
        <c:axPos val="l"/>
        <c:numFmt formatCode="0" sourceLinked="0"/>
        <c:majorTickMark val="out"/>
        <c:minorTickMark val="none"/>
        <c:tickLblPos val="nextTo"/>
        <c:crossAx val="95654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1775000000000002"/>
          <c:y val="7.1999999999999995E-2"/>
          <c:w val="0.20307519219951201"/>
          <c:h val="7.9008778753194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400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userShapes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0.16051</cdr:x>
      <cdr:y>0.11476</cdr:y>
    </cdr:from>
    <cdr:to>
      <cdr:x>0.24647</cdr:x>
      <cdr:y>0.18889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84250" y="479425"/>
          <a:ext cx="527134" cy="30968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0.77145</cdr:x>
      <cdr:y>0.31464</cdr:y>
    </cdr:from>
    <cdr:to>
      <cdr:x>0.85741</cdr:x>
      <cdr:y>0.38877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730666" y="1314450"/>
          <a:ext cx="527134" cy="30968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0.57016</cdr:x>
      <cdr:y>0.47515</cdr:y>
    </cdr:from>
    <cdr:to>
      <cdr:x>0.68313</cdr:x>
      <cdr:y>0.54172</cdr:y>
    </cdr:to>
    <cdr:sp macro="" textlink="">
      <cdr:nvSpPr>
        <cdr:cNvPr id="4" name="AutoShape 7"/>
        <cdr:cNvSpPr/>
      </cdr:nvSpPr>
      <cdr:spPr>
        <a:xfrm xmlns:a="http://schemas.openxmlformats.org/drawingml/2006/main">
          <a:off x="3496310" y="1985010"/>
          <a:ext cx="692785" cy="27813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0.15635</cdr:x>
      <cdr:y>0.1288</cdr:y>
    </cdr:from>
    <cdr:to>
      <cdr:x>0.24203</cdr:x>
      <cdr:y>0.22326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61941" y="422275"/>
          <a:ext cx="527134" cy="30968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0.34522</cdr:x>
      <cdr:y>0.27116</cdr:y>
    </cdr:from>
    <cdr:to>
      <cdr:x>0.4309</cdr:x>
      <cdr:y>0.36562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123991" y="889000"/>
          <a:ext cx="527134" cy="30968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0.76477</cdr:x>
      <cdr:y>0.30602</cdr:y>
    </cdr:from>
    <cdr:to>
      <cdr:x>0.85045</cdr:x>
      <cdr:y>0.40048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705266" y="1003300"/>
          <a:ext cx="527134" cy="30968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0.53886</cdr:x>
      <cdr:y>0.4416</cdr:y>
    </cdr:from>
    <cdr:to>
      <cdr:x>0.65146</cdr:x>
      <cdr:y>0.52644</cdr:y>
    </cdr:to>
    <cdr:sp macro="" textlink="">
      <cdr:nvSpPr>
        <cdr:cNvPr id="5" name="AutoShape 7"/>
        <cdr:cNvSpPr/>
      </cdr:nvSpPr>
      <cdr:spPr>
        <a:xfrm xmlns:a="http://schemas.openxmlformats.org/drawingml/2006/main">
          <a:off x="3315335" y="1447800"/>
          <a:ext cx="692785" cy="27813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0.13902</cdr:x>
      <cdr:y>0.12493</cdr:y>
    </cdr:from>
    <cdr:to>
      <cdr:x>0.23986</cdr:x>
      <cdr:y>0.20448</cdr:y>
    </cdr:to>
    <cdr:sp macro="" textlink="">
      <cdr:nvSpPr>
        <cdr:cNvPr id="2" name="AutoShape 7"/>
        <cdr:cNvSpPr/>
      </cdr:nvSpPr>
      <cdr:spPr>
        <a:xfrm xmlns:a="http://schemas.openxmlformats.org/drawingml/2006/main">
          <a:off x="855345" y="445770"/>
          <a:ext cx="620395" cy="28384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0.55857</cdr:x>
      <cdr:y>0.44951</cdr:y>
    </cdr:from>
    <cdr:to>
      <cdr:x>0.65941</cdr:x>
      <cdr:y>0.53372</cdr:y>
    </cdr:to>
    <cdr:sp macro="" textlink="">
      <cdr:nvSpPr>
        <cdr:cNvPr id="2" name="AutoShape 7"/>
        <cdr:cNvSpPr/>
      </cdr:nvSpPr>
      <cdr:spPr>
        <a:xfrm xmlns:a="http://schemas.openxmlformats.org/drawingml/2006/main">
          <a:off x="3436620" y="1515110"/>
          <a:ext cx="620395" cy="28384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  <cdr:relSizeAnchor xmlns:cdr="http://schemas.openxmlformats.org/drawingml/2006/chartDrawing">
    <cdr:from>
      <cdr:x>0.14986</cdr:x>
      <cdr:y>0.13018</cdr:y>
    </cdr:from>
    <cdr:to>
      <cdr:x>0.2507</cdr:x>
      <cdr:y>0.21439</cdr:y>
    </cdr:to>
    <cdr:sp macro="" textlink="">
      <cdr:nvSpPr>
        <cdr:cNvPr id="3" name="AutoShape 7"/>
        <cdr:cNvSpPr/>
      </cdr:nvSpPr>
      <cdr:spPr>
        <a:xfrm xmlns:a="http://schemas.openxmlformats.org/drawingml/2006/main">
          <a:off x="922020" y="438785"/>
          <a:ext cx="620395" cy="28384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  <cdr:relSizeAnchor xmlns:cdr="http://schemas.openxmlformats.org/drawingml/2006/chartDrawing">
    <cdr:from>
      <cdr:x>0.35576</cdr:x>
      <cdr:y>0.28278</cdr:y>
    </cdr:from>
    <cdr:to>
      <cdr:x>0.4566</cdr:x>
      <cdr:y>0.36699</cdr:y>
    </cdr:to>
    <cdr:sp macro="" textlink="">
      <cdr:nvSpPr>
        <cdr:cNvPr id="4" name="AutoShape 7"/>
        <cdr:cNvSpPr/>
      </cdr:nvSpPr>
      <cdr:spPr>
        <a:xfrm xmlns:a="http://schemas.openxmlformats.org/drawingml/2006/main">
          <a:off x="2188845" y="953135"/>
          <a:ext cx="620395" cy="28384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  <cdr:relSizeAnchor xmlns:cdr="http://schemas.openxmlformats.org/drawingml/2006/chartDrawing">
    <cdr:from>
      <cdr:x>0.76375</cdr:x>
      <cdr:y>0.27242</cdr:y>
    </cdr:from>
    <cdr:to>
      <cdr:x>0.84942</cdr:x>
      <cdr:y>0.36417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99000" y="918210"/>
          <a:ext cx="527050" cy="309245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0.14522</cdr:x>
      <cdr:y>0.11206</cdr:y>
    </cdr:from>
    <cdr:to>
      <cdr:x>0.24605</cdr:x>
      <cdr:y>0.19887</cdr:y>
    </cdr:to>
    <cdr:sp macro="" textlink="">
      <cdr:nvSpPr>
        <cdr:cNvPr id="2" name="AutoShape 7"/>
        <cdr:cNvSpPr/>
      </cdr:nvSpPr>
      <cdr:spPr>
        <a:xfrm xmlns:a="http://schemas.openxmlformats.org/drawingml/2006/main">
          <a:off x="893445" y="366395"/>
          <a:ext cx="620395" cy="28384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  <cdr:relSizeAnchor xmlns:cdr="http://schemas.openxmlformats.org/drawingml/2006/chartDrawing">
    <cdr:from>
      <cdr:x>0.35731</cdr:x>
      <cdr:y>0.25772</cdr:y>
    </cdr:from>
    <cdr:to>
      <cdr:x>0.45815</cdr:x>
      <cdr:y>0.34453</cdr:y>
    </cdr:to>
    <cdr:sp macro="" textlink="">
      <cdr:nvSpPr>
        <cdr:cNvPr id="3" name="AutoShape 7"/>
        <cdr:cNvSpPr/>
      </cdr:nvSpPr>
      <cdr:spPr>
        <a:xfrm xmlns:a="http://schemas.openxmlformats.org/drawingml/2006/main">
          <a:off x="2198370" y="842645"/>
          <a:ext cx="620395" cy="28384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  <cdr:relSizeAnchor xmlns:cdr="http://schemas.openxmlformats.org/drawingml/2006/chartDrawing">
    <cdr:from>
      <cdr:x>0.55393</cdr:x>
      <cdr:y>0.4195</cdr:y>
    </cdr:from>
    <cdr:to>
      <cdr:x>0.65476</cdr:x>
      <cdr:y>0.50981</cdr:y>
    </cdr:to>
    <cdr:sp macro="" textlink="">
      <cdr:nvSpPr>
        <cdr:cNvPr id="4" name="AutoShape 7"/>
        <cdr:cNvSpPr/>
      </cdr:nvSpPr>
      <cdr:spPr>
        <a:xfrm xmlns:a="http://schemas.openxmlformats.org/drawingml/2006/main">
          <a:off x="3408045" y="1371600"/>
          <a:ext cx="620395" cy="29527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360">
          <a:solidFill>
            <a:srgbClr val="000000"/>
          </a:solidFill>
          <a:miter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/>
      </cdr:style>
    </cdr:sp>
  </cdr:relSizeAnchor>
  <cdr:relSizeAnchor xmlns:cdr="http://schemas.openxmlformats.org/drawingml/2006/chartDrawing">
    <cdr:from>
      <cdr:x>0.76995</cdr:x>
      <cdr:y>0.22082</cdr:y>
    </cdr:from>
    <cdr:to>
      <cdr:x>0.85561</cdr:x>
      <cdr:y>0.3154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737100" y="721995"/>
          <a:ext cx="527050" cy="309245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C616-26E5-4B44-AE0D-AEB4215F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Зуева</dc:creator>
  <dc:description/>
  <cp:lastModifiedBy>Калинкин Сергей Валерьевич</cp:lastModifiedBy>
  <cp:revision>12</cp:revision>
  <cp:lastPrinted>2021-11-10T11:42:00Z</cp:lastPrinted>
  <dcterms:created xsi:type="dcterms:W3CDTF">2023-01-17T11:22:00Z</dcterms:created>
  <dcterms:modified xsi:type="dcterms:W3CDTF">2024-02-28T10:33:00Z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VNIIPO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