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03" w:rsidRDefault="00117103" w:rsidP="00117103">
      <w:r>
        <w:t xml:space="preserve">          </w:t>
      </w:r>
    </w:p>
    <w:p w:rsidR="000E2CE7" w:rsidRPr="00A85EF2" w:rsidRDefault="00D86743" w:rsidP="007548A7">
      <w:pPr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состояния детского дорожно-транспортного травматизма на территории Свердловской области за 9 месяцев 2022 года</w:t>
      </w:r>
      <w:bookmarkStart w:id="0" w:name="_GoBack"/>
      <w:bookmarkEnd w:id="0"/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e"/>
          <w:sz w:val="27"/>
          <w:szCs w:val="27"/>
        </w:rPr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</w:t>
      </w:r>
      <w:r w:rsidR="00765843" w:rsidRPr="00A845D8">
        <w:rPr>
          <w:i/>
          <w:sz w:val="27"/>
          <w:szCs w:val="27"/>
        </w:rPr>
        <w:lastRenderedPageBreak/>
        <w:t xml:space="preserve">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lastRenderedPageBreak/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</w:t>
      </w:r>
      <w:r w:rsidRPr="00421AF6">
        <w:rPr>
          <w:i/>
          <w:sz w:val="27"/>
          <w:szCs w:val="27"/>
        </w:rPr>
        <w:lastRenderedPageBreak/>
        <w:t xml:space="preserve">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lastRenderedPageBreak/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 xml:space="preserve">такая тенденция </w:t>
      </w:r>
      <w:r w:rsidR="00E252EF" w:rsidRPr="00984BBA">
        <w:rPr>
          <w:sz w:val="28"/>
          <w:szCs w:val="28"/>
        </w:rPr>
        <w:lastRenderedPageBreak/>
        <w:t>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lastRenderedPageBreak/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 xml:space="preserve">5 лет, при этом максимальное количество ДТП </w:t>
      </w:r>
      <w:r w:rsidR="00786089" w:rsidRPr="004746AF">
        <w:rPr>
          <w:sz w:val="28"/>
          <w:szCs w:val="28"/>
        </w:rPr>
        <w:lastRenderedPageBreak/>
        <w:t>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Еврогимназия, Гимназия №25, «Ревдинская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«Дегтярская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9 месяцев 2022 года на территории Ревдинского района зарегистрировано 2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117103" w:rsidTr="009F05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 с учас-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тием </w:t>
            </w:r>
            <w:r>
              <w:rPr>
                <w:sz w:val="26"/>
                <w:szCs w:val="26"/>
              </w:rPr>
              <w:lastRenderedPageBreak/>
              <w:t>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Городской округ Ревда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 с н/летними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117103" w:rsidTr="009F05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3" w:rsidRDefault="00117103" w:rsidP="009F053E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</w:t>
            </w:r>
            <w:r>
              <w:rPr>
                <w:sz w:val="26"/>
                <w:szCs w:val="26"/>
              </w:rPr>
              <w:lastRenderedPageBreak/>
              <w:t>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  <w:r>
              <w:rPr>
                <w:sz w:val="26"/>
                <w:szCs w:val="26"/>
              </w:rPr>
              <w:lastRenderedPageBreak/>
              <w:t>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117103" w:rsidTr="009F05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2022г.-  5 ДТП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- 2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117103" w:rsidRDefault="00117103" w:rsidP="00117103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117103" w:rsidTr="009F053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117103" w:rsidTr="009F053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3" w:rsidRDefault="00117103" w:rsidP="009F053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7103" w:rsidRDefault="00117103" w:rsidP="00117103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117103" w:rsidRDefault="00117103" w:rsidP="00117103">
      <w:pPr>
        <w:pStyle w:val="a5"/>
        <w:ind w:firstLine="540"/>
      </w:pPr>
      <w:r>
        <w:t>Пешеходы  – 2 ДТП + 200%;</w:t>
      </w:r>
    </w:p>
    <w:p w:rsidR="00117103" w:rsidRDefault="00117103" w:rsidP="00117103">
      <w:pPr>
        <w:pStyle w:val="a5"/>
        <w:ind w:firstLine="540"/>
      </w:pPr>
      <w:r>
        <w:t>Пассажиры – 3 ДТП (2021 – 2) + 50%.</w:t>
      </w:r>
    </w:p>
    <w:p w:rsidR="00117103" w:rsidRDefault="00117103" w:rsidP="00117103">
      <w:pPr>
        <w:pStyle w:val="a5"/>
        <w:ind w:firstLine="540"/>
        <w:rPr>
          <w:b w:val="0"/>
        </w:rPr>
      </w:pPr>
    </w:p>
    <w:p w:rsidR="00117103" w:rsidRDefault="00117103" w:rsidP="00117103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117103" w:rsidRDefault="00117103" w:rsidP="001171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ДТП С ДЕТЬМИ ПО МЕСТУ СОВЕРШЕНИЯ.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а/д Пермь-Екатеринбург, 316 км - 1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>
          <w:rPr>
            <w:sz w:val="26"/>
            <w:szCs w:val="26"/>
          </w:rPr>
          <w:t>1 км</w:t>
        </w:r>
      </w:smartTag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з) а/д Ревда-Дегтярск-Курганово      - 2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девять месяцев 2022 выявлено 164 (АППГ - 342) – 52 % (ГИБДД- 108 (АППГ – 154)- 29,8 %; ППСП – 35 (АППГ – 109) – 67,8 %; ПДН – 0 (АППГ – 10) – 100%; УУП – 22 (АППГ - 69) – 68,1 %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26 представлений в ТКДН и ЗП для принятия соответствующих мер.</w:t>
      </w:r>
    </w:p>
    <w:p w:rsidR="00117103" w:rsidRDefault="00117103" w:rsidP="001171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16 (2021 – 47)- 65,9 % – карточек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14 (2021 -25) – 44 % карточек НПДД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Гимназия № 25 – 8 ( 2021 – 20) - 60%  карточек НПДД (пешеходы+велосипедист);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МКОУ СОШ № 29 – 14 (2021 – 40) – 65 % карточек НПДД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10 – 22 (2021 – 32) – 31,2 % карточек НПДД ( 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14) – 78,5 % карточки (пешеходы + водитель мопеда);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12 (2021 – 23) – 47,8 % карточек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5 (2021 - 13) - 61.5% карточки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Еврогимназия – 3 (2021 - 6) – 50 % карточка (пешеход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24 (2021- 23) + 4,3 % карточек (пешеход+водитель мопеда+ 8 велосипедистов);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14) – 92,8 % карточки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22)- 95,4 % карточка (пешеход).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«Ревдинская школа» - 7 (2021- 5) + 40% карточек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(2021-1)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Иногородние дети – 7 карточки водители транспортных средств (Лицей 135, ОУ 181, отказался сообщать, где учится, ОУ 177).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DF141B" w:rsidRDefault="00117103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>. Продолжить работу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(электросамокаты, гироскутеры, ролики, самокаты, скейтборды, сигвеи, моноколеса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 xml:space="preserve">. </w:t>
      </w:r>
      <w:r w:rsidR="00E252EF">
        <w:rPr>
          <w:sz w:val="28"/>
          <w:szCs w:val="28"/>
        </w:rPr>
        <w:t>По маршрутам движения детей «дом-школа-дом», в</w:t>
      </w:r>
      <w:r w:rsidR="00E252EF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E252EF"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 w:rsidR="00E252EF">
        <w:rPr>
          <w:sz w:val="28"/>
          <w:szCs w:val="28"/>
        </w:rPr>
        <w:t>автозаправочных станциях</w:t>
      </w:r>
      <w:r w:rsidR="00E252EF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</w:t>
      </w:r>
      <w:r w:rsidR="00E252EF" w:rsidRPr="000E2CE7">
        <w:rPr>
          <w:sz w:val="28"/>
          <w:szCs w:val="28"/>
        </w:rPr>
        <w:lastRenderedPageBreak/>
        <w:t>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="00E252EF"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 w:rsidR="00E252EF">
        <w:rPr>
          <w:sz w:val="28"/>
          <w:szCs w:val="28"/>
        </w:rPr>
        <w:t xml:space="preserve"> </w:t>
      </w:r>
    </w:p>
    <w:p w:rsidR="00E252EF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 w:rsidR="00E252EF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517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117103" w:rsidRP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117103">
        <w:rPr>
          <w:color w:val="000000"/>
          <w:spacing w:val="-1"/>
        </w:rPr>
        <w:t xml:space="preserve">Врио начальника ОГИБДД </w:t>
      </w:r>
    </w:p>
    <w:p w:rsidR="00117103" w:rsidRP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117103">
        <w:rPr>
          <w:color w:val="000000"/>
          <w:spacing w:val="-1"/>
        </w:rPr>
        <w:t>МО МВД России «Ревдинский»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 w:rsidRPr="00117103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  <w:t xml:space="preserve">        </w:t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  <w:t xml:space="preserve">                        В.А. Хрущев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117103">
        <w:rPr>
          <w:b w:val="0"/>
          <w:i w:val="0"/>
          <w:color w:val="000000"/>
          <w:spacing w:val="-1"/>
          <w:sz w:val="20"/>
        </w:rPr>
        <w:t>Исп. ОГИБДД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117103">
        <w:rPr>
          <w:b w:val="0"/>
          <w:i w:val="0"/>
          <w:color w:val="000000"/>
          <w:spacing w:val="-1"/>
          <w:sz w:val="20"/>
        </w:rPr>
        <w:t>М.Г. Шипицына</w:t>
      </w:r>
    </w:p>
    <w:p w:rsidR="00E252EF" w:rsidRDefault="00117103" w:rsidP="00117103">
      <w:pPr>
        <w:pStyle w:val="a5"/>
        <w:jc w:val="both"/>
        <w:rPr>
          <w:sz w:val="28"/>
          <w:szCs w:val="28"/>
        </w:rPr>
      </w:pPr>
      <w:r w:rsidRPr="00117103">
        <w:rPr>
          <w:b w:val="0"/>
          <w:i w:val="0"/>
          <w:color w:val="000000"/>
          <w:spacing w:val="-1"/>
          <w:sz w:val="20"/>
        </w:rPr>
        <w:t>8(34397)5-22-00</w:t>
      </w:r>
    </w:p>
    <w:sectPr w:rsidR="00E252E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70F" w:rsidRDefault="000D670F" w:rsidP="00874A55">
      <w:r>
        <w:separator/>
      </w:r>
    </w:p>
  </w:endnote>
  <w:endnote w:type="continuationSeparator" w:id="0">
    <w:p w:rsidR="000D670F" w:rsidRDefault="000D670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70F" w:rsidRDefault="000D670F" w:rsidP="00874A55">
      <w:r>
        <w:separator/>
      </w:r>
    </w:p>
  </w:footnote>
  <w:footnote w:type="continuationSeparator" w:id="0">
    <w:p w:rsidR="000D670F" w:rsidRDefault="000D670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305251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D86743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670F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103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1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0DEF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743"/>
    <w:rsid w:val="00D86AE3"/>
    <w:rsid w:val="00D87822"/>
    <w:rsid w:val="00D92CD1"/>
    <w:rsid w:val="00D95941"/>
    <w:rsid w:val="00D96356"/>
    <w:rsid w:val="00DA4AA1"/>
    <w:rsid w:val="00DA6672"/>
    <w:rsid w:val="00DB0A27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4E909B"/>
  <w15:docId w15:val="{5A427AB4-32BA-45DC-AFB8-63A571F1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117103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1171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41-43AE-91C1-42E9CFA5CE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41-43AE-91C1-42E9CFA5CEC1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41-43AE-91C1-42E9CFA5CEC1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41-43AE-91C1-42E9CFA5CE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41-43AE-91C1-42E9CFA5C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061632"/>
        <c:axId val="91210112"/>
        <c:axId val="0"/>
      </c:bar3DChart>
      <c:catAx>
        <c:axId val="9106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10112"/>
        <c:crosses val="autoZero"/>
        <c:auto val="1"/>
        <c:lblAlgn val="ctr"/>
        <c:lblOffset val="100"/>
        <c:noMultiLvlLbl val="0"/>
      </c:catAx>
      <c:valAx>
        <c:axId val="9121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6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6F5-4ADD-B956-A3546AA6A05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F5-4ADD-B956-A3546AA6A05F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F5-4ADD-B956-A3546AA6A05F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F5-4ADD-B956-A3546AA6A0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F5-4ADD-B956-A3546AA6A05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8E-2"/>
          <c:y val="1.38443046538743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935-4413-8510-A80A93F4CE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935-4413-8510-A80A93F4CE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935-4413-8510-A80A93F4CE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935-4413-8510-A80A93F4CE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935-4413-8510-A80A93F4CEDA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35-4413-8510-A80A93F4CEDA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35-4413-8510-A80A93F4CEDA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35-4413-8510-A80A93F4CEDA}"/>
                </c:ext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35-4413-8510-A80A93F4CE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35-4413-8510-A80A93F4CE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4C01-44F0-94E3-32010E88C2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01-44F0-94E3-32010E88C2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4C01-44F0-94E3-32010E88C2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01-44F0-94E3-32010E88C27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C01-44F0-94E3-32010E88C27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C01-44F0-94E3-32010E88C27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C01-44F0-94E3-32010E88C27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C01-44F0-94E3-32010E88C27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C01-44F0-94E3-32010E88C27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C01-44F0-94E3-32010E88C27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C01-44F0-94E3-32010E88C27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C01-44F0-94E3-32010E88C27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4C01-44F0-94E3-32010E88C27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C01-44F0-94E3-32010E88C27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4C01-44F0-94E3-32010E88C27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C01-44F0-94E3-32010E88C272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4C01-44F0-94E3-32010E88C272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C01-44F0-94E3-32010E88C272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4C01-44F0-94E3-32010E88C272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C01-44F0-94E3-32010E88C272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4C01-44F0-94E3-32010E88C272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C01-44F0-94E3-32010E88C272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4C01-44F0-94E3-32010E88C272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4C01-44F0-94E3-32010E88C272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4C01-44F0-94E3-32010E88C272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4C01-44F0-94E3-32010E88C272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4C01-44F0-94E3-32010E88C272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4C01-44F0-94E3-32010E88C272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4C01-44F0-94E3-32010E88C272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4C01-44F0-94E3-32010E88C272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4C01-44F0-94E3-32010E88C272}"/>
              </c:ext>
            </c:extLst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01-44F0-94E3-32010E88C272}"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01-44F0-94E3-32010E88C272}"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01-44F0-94E3-32010E88C272}"/>
                </c:ext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01-44F0-94E3-32010E88C272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01-44F0-94E3-32010E88C272}"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01-44F0-94E3-32010E88C272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01-44F0-94E3-32010E88C272}"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01-44F0-94E3-32010E88C272}"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C01-44F0-94E3-32010E88C272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01-44F0-94E3-32010E88C272}"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C01-44F0-94E3-32010E88C272}"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01-44F0-94E3-32010E88C272}"/>
                </c:ext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C01-44F0-94E3-32010E88C272}"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C01-44F0-94E3-32010E88C272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C01-44F0-94E3-32010E88C272}"/>
                </c:ext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C01-44F0-94E3-32010E88C272}"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C01-44F0-94E3-32010E88C272}"/>
                </c:ext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C01-44F0-94E3-32010E88C272}"/>
                </c:ext>
              </c:extLst>
            </c:dLbl>
            <c:dLbl>
              <c:idx val="18"/>
              <c:layout>
                <c:manualLayout>
                  <c:x val="5.4567985036353246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C01-44F0-94E3-32010E88C272}"/>
                </c:ext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C01-44F0-94E3-32010E88C272}"/>
                </c:ext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C01-44F0-94E3-32010E88C272}"/>
                </c:ext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C01-44F0-94E3-32010E88C272}"/>
                </c:ext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C01-44F0-94E3-32010E88C272}"/>
                </c:ext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C01-44F0-94E3-32010E88C272}"/>
                </c:ext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C01-44F0-94E3-32010E88C272}"/>
                </c:ext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4C01-44F0-94E3-32010E88C272}"/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C01-44F0-94E3-32010E88C272}"/>
                </c:ext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4C01-44F0-94E3-32010E88C272}"/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C01-44F0-94E3-32010E88C272}"/>
                </c:ext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C01-44F0-94E3-32010E88C2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4C01-44F0-94E3-32010E88C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13-4A69-8FAE-7189EF203B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13-4A69-8FAE-7189EF203B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13-4A69-8FAE-7189EF203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2254592"/>
        <c:axId val="91968256"/>
      </c:barChart>
      <c:valAx>
        <c:axId val="91968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54592"/>
        <c:crosses val="autoZero"/>
        <c:crossBetween val="between"/>
      </c:valAx>
      <c:catAx>
        <c:axId val="92254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68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D91D-404A-AC56-56B35820D41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1D-404A-AC56-56B35820D41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91D-404A-AC56-56B35820D413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1D-404A-AC56-56B35820D413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1D-404A-AC56-56B35820D413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1D-404A-AC56-56B35820D4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1D-404A-AC56-56B35820D4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EAB-4A65-B103-3E018E9CFA5E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AB-4A65-B103-3E018E9CFA5E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AB-4A65-B103-3E018E9CFA5E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AB-4A65-B103-3E018E9CFA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AB-4A65-B103-3E018E9CFA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B5-4B94-8430-BFC8C4485F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B5-4B94-8430-BFC8C4485F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B5-4B94-8430-BFC8C4485F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3010944"/>
        <c:axId val="95720960"/>
      </c:barChart>
      <c:catAx>
        <c:axId val="9301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720960"/>
        <c:crosses val="autoZero"/>
        <c:auto val="1"/>
        <c:lblAlgn val="ctr"/>
        <c:lblOffset val="100"/>
        <c:noMultiLvlLbl val="0"/>
      </c:catAx>
      <c:valAx>
        <c:axId val="9572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01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94-41D7-8D3F-DEECDA2D4A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94-41D7-8D3F-DEECDA2D4A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94-41D7-8D3F-DEECDA2D4A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5137664"/>
        <c:axId val="105139200"/>
      </c:barChart>
      <c:catAx>
        <c:axId val="10513766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139200"/>
        <c:crosses val="autoZero"/>
        <c:auto val="1"/>
        <c:lblAlgn val="ctr"/>
        <c:lblOffset val="100"/>
        <c:tickLblSkip val="1"/>
        <c:noMultiLvlLbl val="0"/>
      </c:catAx>
      <c:valAx>
        <c:axId val="10513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13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C4-4AB9-B354-135C619020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C4-4AB9-B354-135C619020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C4-4AB9-B354-135C619020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09993344"/>
        <c:axId val="110347008"/>
      </c:barChart>
      <c:catAx>
        <c:axId val="10999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347008"/>
        <c:crosses val="autoZero"/>
        <c:auto val="1"/>
        <c:lblAlgn val="ctr"/>
        <c:lblOffset val="100"/>
        <c:noMultiLvlLbl val="0"/>
      </c:catAx>
      <c:valAx>
        <c:axId val="11034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99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0ACA-4DD1-A530-9F92BB4DE1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CA-4DD1-A530-9F92BB4DE1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ACA-4DD1-A530-9F92BB4DE1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CA-4DD1-A530-9F92BB4DE1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ACA-4DD1-A530-9F92BB4DE1A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CA-4DD1-A530-9F92BB4DE1A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ACA-4DD1-A530-9F92BB4DE1A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ACA-4DD1-A530-9F92BB4DE1A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ACA-4DD1-A530-9F92BB4DE1A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ACA-4DD1-A530-9F92BB4DE1AF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CA-4DD1-A530-9F92BB4DE1AF}"/>
                </c:ext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ACA-4DD1-A530-9F92BB4DE1AF}"/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ACA-4DD1-A530-9F92BB4DE1AF}"/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CA-4DD1-A530-9F92BB4DE1AF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ACA-4DD1-A530-9F92BB4DE1AF}"/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ACA-4DD1-A530-9F92BB4DE1AF}"/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ACA-4DD1-A530-9F92BB4DE1AF}"/>
                </c:ext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ACA-4DD1-A530-9F92BB4DE1AF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ACA-4DD1-A530-9F92BB4DE1AF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ACA-4DD1-A530-9F92BB4DE1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ACA-4DD1-A530-9F92BB4DE1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95-4DB0-8DBF-C029C84469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95-4DB0-8DBF-C029C84469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95-4DB0-8DBF-C029C84469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63616"/>
        <c:axId val="109273856"/>
      </c:barChart>
      <c:catAx>
        <c:axId val="117663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273856"/>
        <c:crosses val="autoZero"/>
        <c:auto val="1"/>
        <c:lblAlgn val="ctr"/>
        <c:lblOffset val="100"/>
        <c:noMultiLvlLbl val="0"/>
      </c:catAx>
      <c:valAx>
        <c:axId val="109273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66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1533-B6F9-4B60-9DC2-96660A52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adrozdova75@gmail.com</cp:lastModifiedBy>
  <cp:revision>4</cp:revision>
  <cp:lastPrinted>2022-11-02T07:50:00Z</cp:lastPrinted>
  <dcterms:created xsi:type="dcterms:W3CDTF">2022-11-02T09:47:00Z</dcterms:created>
  <dcterms:modified xsi:type="dcterms:W3CDTF">2022-11-03T04:12:00Z</dcterms:modified>
</cp:coreProperties>
</file>